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2FA4E" w14:textId="1FDEEA78" w:rsidR="002E3D1B" w:rsidRPr="00EC1CA6" w:rsidRDefault="002E3D1B" w:rsidP="002E3D1B">
      <w:pPr>
        <w:spacing w:before="100" w:beforeAutospacing="1" w:after="100" w:afterAutospacing="1"/>
        <w:ind w:left="-181" w:right="-136"/>
        <w:jc w:val="center"/>
        <w:rPr>
          <w:rFonts w:ascii="Barlow" w:hAnsi="Barlow"/>
          <w:b/>
          <w:bCs/>
          <w:sz w:val="26"/>
          <w:szCs w:val="26"/>
        </w:rPr>
      </w:pPr>
      <w:r w:rsidRPr="00EC1CA6">
        <w:rPr>
          <w:rFonts w:ascii="Barlow" w:hAnsi="Barlow"/>
          <w:b/>
          <w:bCs/>
          <w:sz w:val="26"/>
          <w:szCs w:val="26"/>
        </w:rPr>
        <w:t>Modèle de délibération portant institution du régime des indemnités horaires pour travaux supplémentaires (I.H.T.S.) et relative aux modalités de réalisation des heures complémentaires</w:t>
      </w:r>
    </w:p>
    <w:p w14:paraId="35500C08" w14:textId="77777777" w:rsidR="002E3D1B" w:rsidRPr="00EC1CA6" w:rsidRDefault="002E3D1B" w:rsidP="002351E2">
      <w:pPr>
        <w:spacing w:after="0" w:line="240" w:lineRule="auto"/>
        <w:jc w:val="both"/>
        <w:rPr>
          <w:rFonts w:ascii="Barlow" w:hAnsi="Barlow" w:cs="Arial"/>
          <w:color w:val="203242"/>
        </w:rPr>
      </w:pPr>
    </w:p>
    <w:p w14:paraId="4D849E96" w14:textId="2E6A9AD3" w:rsidR="005B5982" w:rsidRPr="00EC1CA6" w:rsidRDefault="002351E2" w:rsidP="005B5982">
      <w:pPr>
        <w:spacing w:line="240" w:lineRule="auto"/>
        <w:jc w:val="both"/>
        <w:rPr>
          <w:rFonts w:ascii="Barlow" w:hAnsi="Barlow" w:cs="Arial"/>
          <w:color w:val="203242"/>
        </w:rPr>
      </w:pPr>
      <w:r w:rsidRPr="00EC1CA6">
        <w:rPr>
          <w:rFonts w:ascii="Barlow" w:hAnsi="Barlow" w:cs="Arial"/>
          <w:color w:val="203242"/>
        </w:rPr>
        <w:t>Vu le Code Général de la Fonction Publique,</w:t>
      </w:r>
      <w:r w:rsidRPr="00EC1CA6">
        <w:rPr>
          <w:rFonts w:ascii="Barlow" w:hAnsi="Barlow" w:cs="Arial"/>
          <w:color w:val="203242"/>
        </w:rPr>
        <w:tab/>
      </w:r>
    </w:p>
    <w:p w14:paraId="302E1D7A" w14:textId="2C0ACA55" w:rsidR="00150C35" w:rsidRPr="00EC1CA6" w:rsidRDefault="00150C35" w:rsidP="00150C35">
      <w:pPr>
        <w:spacing w:line="240" w:lineRule="auto"/>
        <w:jc w:val="both"/>
        <w:rPr>
          <w:rFonts w:ascii="Barlow" w:hAnsi="Barlow" w:cs="Arial"/>
          <w:color w:val="203242"/>
        </w:rPr>
      </w:pPr>
      <w:r w:rsidRPr="00EC1CA6">
        <w:rPr>
          <w:rFonts w:ascii="Barlow" w:hAnsi="Barlow" w:cs="Arial"/>
          <w:color w:val="203242"/>
        </w:rPr>
        <w:t>Vu le décret n°91-298 du 20 mars 1991 portant dispositions statutaires applicables aux fonctionnaires territoriaux nommés dans des emplois permanents à temps non complet,</w:t>
      </w:r>
    </w:p>
    <w:p w14:paraId="2228CA68" w14:textId="0E1DC43F" w:rsidR="002351E2" w:rsidRPr="00EC1CA6" w:rsidRDefault="002351E2" w:rsidP="000A0927">
      <w:pPr>
        <w:spacing w:line="240" w:lineRule="auto"/>
        <w:jc w:val="both"/>
        <w:rPr>
          <w:rFonts w:ascii="Barlow" w:hAnsi="Barlow" w:cs="Arial"/>
          <w:color w:val="203242"/>
        </w:rPr>
      </w:pPr>
      <w:r w:rsidRPr="00EC1CA6">
        <w:rPr>
          <w:rFonts w:ascii="Barlow" w:hAnsi="Barlow" w:cs="Arial"/>
          <w:color w:val="203242"/>
        </w:rPr>
        <w:t xml:space="preserve">Vu le décret n° 91-875 du 6 septembre 1991 modifié </w:t>
      </w:r>
      <w:r w:rsidR="000A0927" w:rsidRPr="00EC1CA6">
        <w:rPr>
          <w:rFonts w:ascii="Barlow" w:hAnsi="Barlow" w:cs="Arial"/>
          <w:color w:val="203242"/>
        </w:rPr>
        <w:t>pris pour l'application de l'article L. 714-4 du code général de la fonction publique</w:t>
      </w:r>
      <w:r w:rsidRPr="00EC1CA6">
        <w:rPr>
          <w:rFonts w:ascii="Barlow" w:hAnsi="Barlow" w:cs="Arial"/>
          <w:color w:val="203242"/>
        </w:rPr>
        <w:t>,</w:t>
      </w:r>
    </w:p>
    <w:p w14:paraId="11E9C543" w14:textId="3BC6032F" w:rsidR="002351E2" w:rsidRPr="00EC1CA6" w:rsidRDefault="002351E2" w:rsidP="005B5982">
      <w:pPr>
        <w:spacing w:line="240" w:lineRule="auto"/>
        <w:jc w:val="both"/>
        <w:rPr>
          <w:rFonts w:ascii="Barlow" w:hAnsi="Barlow" w:cs="Arial"/>
          <w:color w:val="203242"/>
        </w:rPr>
      </w:pPr>
      <w:r w:rsidRPr="00EC1CA6">
        <w:rPr>
          <w:rFonts w:ascii="Barlow" w:hAnsi="Barlow" w:cs="Arial"/>
          <w:color w:val="203242"/>
        </w:rPr>
        <w:t>Vu le décret n° 2002-60 du 14 janvier 2002 relatif aux indemnités horaires pour travaux supplémentaires,</w:t>
      </w:r>
    </w:p>
    <w:p w14:paraId="504147C6" w14:textId="69BF32D0" w:rsidR="002351E2" w:rsidRPr="00EC1CA6" w:rsidRDefault="002351E2" w:rsidP="005B5982">
      <w:pPr>
        <w:spacing w:line="240" w:lineRule="auto"/>
        <w:jc w:val="both"/>
        <w:rPr>
          <w:rFonts w:ascii="Barlow" w:hAnsi="Barlow" w:cs="Arial"/>
          <w:color w:val="203242"/>
        </w:rPr>
      </w:pPr>
      <w:r w:rsidRPr="00EC1CA6">
        <w:rPr>
          <w:rFonts w:ascii="Barlow" w:hAnsi="Barlow" w:cs="Arial"/>
          <w:color w:val="203242"/>
        </w:rPr>
        <w:t>Vu le décret n°2002-598 du 25 avril 2002 relatif aux indemnités horaires pour travaux supplémentaires,</w:t>
      </w:r>
    </w:p>
    <w:p w14:paraId="736B45C0" w14:textId="04FC3940" w:rsidR="002351E2" w:rsidRPr="00EC1CA6" w:rsidRDefault="002351E2" w:rsidP="005B5982">
      <w:pPr>
        <w:spacing w:line="240" w:lineRule="auto"/>
        <w:jc w:val="both"/>
        <w:rPr>
          <w:rFonts w:ascii="Barlow" w:hAnsi="Barlow" w:cs="Arial"/>
          <w:color w:val="203242"/>
        </w:rPr>
      </w:pPr>
      <w:r w:rsidRPr="00EC1CA6">
        <w:rPr>
          <w:rFonts w:ascii="Barlow" w:hAnsi="Barlow" w:cs="Arial"/>
          <w:color w:val="203242"/>
        </w:rPr>
        <w:t>Vu le décret n° 2020-592 du 15 mai 2020 relatif aux modalités de calcul et à la majoration de la rémunération des heures complémentaires des agents de la fonction publique territoriale nommés dans des emplois permanents à temps non complet,</w:t>
      </w:r>
    </w:p>
    <w:p w14:paraId="755FDA3F" w14:textId="77777777" w:rsidR="002351E2" w:rsidRPr="00EC1CA6" w:rsidRDefault="002351E2" w:rsidP="002351E2">
      <w:pPr>
        <w:spacing w:after="0" w:line="240" w:lineRule="auto"/>
        <w:jc w:val="both"/>
        <w:rPr>
          <w:rFonts w:ascii="Barlow" w:hAnsi="Barlow" w:cs="Arial"/>
          <w:color w:val="203242"/>
        </w:rPr>
      </w:pPr>
    </w:p>
    <w:p w14:paraId="57EF8996" w14:textId="77777777" w:rsidR="002351E2" w:rsidRPr="00EC1CA6" w:rsidRDefault="002351E2" w:rsidP="002351E2">
      <w:pPr>
        <w:spacing w:after="0" w:line="240" w:lineRule="auto"/>
        <w:jc w:val="both"/>
        <w:rPr>
          <w:rFonts w:ascii="Barlow" w:hAnsi="Barlow" w:cs="Arial"/>
          <w:color w:val="203242"/>
        </w:rPr>
      </w:pPr>
      <w:r w:rsidRPr="00EC1CA6">
        <w:rPr>
          <w:rFonts w:ascii="Barlow" w:hAnsi="Barlow" w:cs="Arial"/>
          <w:color w:val="203242"/>
        </w:rPr>
        <w:t xml:space="preserve">Le ………………. </w:t>
      </w:r>
      <w:r w:rsidRPr="00EC1CA6">
        <w:rPr>
          <w:rFonts w:ascii="Barlow" w:hAnsi="Barlow" w:cs="Arial"/>
          <w:i/>
          <w:iCs/>
          <w:color w:val="0070C0"/>
        </w:rPr>
        <w:t>Maire/Président</w:t>
      </w:r>
      <w:r w:rsidRPr="00EC1CA6">
        <w:rPr>
          <w:rFonts w:ascii="Barlow" w:hAnsi="Barlow" w:cs="Arial"/>
          <w:color w:val="2F5496" w:themeColor="accent1" w:themeShade="BF"/>
        </w:rPr>
        <w:t xml:space="preserve"> </w:t>
      </w:r>
      <w:r w:rsidRPr="00EC1CA6">
        <w:rPr>
          <w:rFonts w:ascii="Barlow" w:hAnsi="Barlow" w:cs="Arial"/>
          <w:color w:val="203242"/>
        </w:rPr>
        <w:t>présente le projet de gestion des travaux supplémentaires que peuvent être appelés à effectuer les agents.</w:t>
      </w:r>
    </w:p>
    <w:p w14:paraId="3154B8BB" w14:textId="77777777" w:rsidR="00AF6F2F" w:rsidRPr="00EC1CA6" w:rsidRDefault="00AF6F2F" w:rsidP="002351E2">
      <w:pPr>
        <w:spacing w:after="0" w:line="240" w:lineRule="auto"/>
        <w:jc w:val="both"/>
        <w:rPr>
          <w:rFonts w:ascii="Barlow" w:hAnsi="Barlow" w:cs="Arial"/>
          <w:color w:val="203242"/>
        </w:rPr>
      </w:pPr>
    </w:p>
    <w:p w14:paraId="1B7E2120" w14:textId="6BD15B9C" w:rsidR="002351E2" w:rsidRPr="00EC1CA6" w:rsidRDefault="00AF6F2F" w:rsidP="00AF6F2F">
      <w:pPr>
        <w:jc w:val="both"/>
        <w:rPr>
          <w:rFonts w:ascii="Barlow" w:hAnsi="Barlow" w:cs="Arial"/>
          <w:color w:val="203242"/>
        </w:rPr>
      </w:pPr>
      <w:r w:rsidRPr="00EC1CA6">
        <w:rPr>
          <w:rFonts w:ascii="Barlow" w:hAnsi="Barlow" w:cs="Arial"/>
          <w:color w:val="203242"/>
        </w:rPr>
        <w:t xml:space="preserve">Considérant que le personnel de ………..   peut être appelé, selon les besoins du service, à effectuer des heures complémentaires dans la limite de la durée légale du travail et des heures supplémentaires au-delà de la durée légale de travail </w:t>
      </w:r>
      <w:r w:rsidRPr="00EC1CA6">
        <w:rPr>
          <w:rFonts w:ascii="Barlow" w:hAnsi="Barlow" w:cs="Arial"/>
          <w:b/>
          <w:bCs/>
          <w:color w:val="203242"/>
        </w:rPr>
        <w:t>sur la demande du Maire (ou Président),</w:t>
      </w:r>
    </w:p>
    <w:p w14:paraId="792E6590" w14:textId="055AB76E" w:rsidR="00AF6F2F" w:rsidRPr="00EC1CA6" w:rsidRDefault="00AF6F2F" w:rsidP="00AF6F2F">
      <w:pPr>
        <w:jc w:val="both"/>
        <w:rPr>
          <w:rFonts w:ascii="Barlow" w:hAnsi="Barlow" w:cs="Arial"/>
          <w:color w:val="203242"/>
        </w:rPr>
      </w:pPr>
      <w:r w:rsidRPr="00EC1CA6">
        <w:rPr>
          <w:rFonts w:ascii="Barlow" w:hAnsi="Barlow" w:cs="Arial"/>
          <w:color w:val="203242"/>
        </w:rPr>
        <w:t>(le cas échéant) Considérant la possibilité pour les collectivités/établissements publics de majorer l’indemnisation des heures complémentaires des agents nommés sur emplois permanents à temps non complet,</w:t>
      </w:r>
    </w:p>
    <w:p w14:paraId="6090363D" w14:textId="0378604D" w:rsidR="002351E2" w:rsidRPr="00EC1CA6" w:rsidRDefault="002351E2" w:rsidP="002351E2">
      <w:pPr>
        <w:spacing w:after="0" w:line="240" w:lineRule="auto"/>
        <w:jc w:val="both"/>
        <w:rPr>
          <w:rFonts w:ascii="Barlow" w:hAnsi="Barlow" w:cs="Arial"/>
          <w:color w:val="203242"/>
        </w:rPr>
      </w:pPr>
      <w:r w:rsidRPr="00EC1CA6">
        <w:rPr>
          <w:rFonts w:ascii="Barlow" w:hAnsi="Barlow" w:cs="Arial"/>
          <w:color w:val="203242"/>
        </w:rPr>
        <w:t>Il appartient à l'organe délibérant</w:t>
      </w:r>
      <w:r w:rsidR="008D0F1B" w:rsidRPr="00EC1CA6">
        <w:rPr>
          <w:rFonts w:ascii="Barlow" w:hAnsi="Barlow" w:cs="Arial"/>
          <w:color w:val="203242"/>
        </w:rPr>
        <w:t>, après avis du Comité Social Territorial,</w:t>
      </w:r>
      <w:r w:rsidRPr="00EC1CA6">
        <w:rPr>
          <w:rFonts w:ascii="Barlow" w:hAnsi="Barlow" w:cs="Arial"/>
          <w:color w:val="203242"/>
        </w:rPr>
        <w:t xml:space="preserve"> de se prononcer sur la liste des emplois sur lesquels des travaux supplémentaires peuvent être effectués et sur les modalités d’indemnisation des heures complémentaires.</w:t>
      </w:r>
    </w:p>
    <w:p w14:paraId="4C14E341" w14:textId="77777777" w:rsidR="00AF6F2F" w:rsidRPr="00EC1CA6" w:rsidRDefault="00AF6F2F" w:rsidP="00AF6F2F">
      <w:pPr>
        <w:spacing w:after="0" w:line="240" w:lineRule="auto"/>
        <w:jc w:val="both"/>
        <w:rPr>
          <w:rFonts w:ascii="Barlow" w:hAnsi="Barlow" w:cs="Arial"/>
          <w:color w:val="203242"/>
        </w:rPr>
      </w:pPr>
    </w:p>
    <w:p w14:paraId="585F1E30" w14:textId="77777777" w:rsidR="00AF6F2F" w:rsidRPr="00EC1CA6" w:rsidRDefault="00AF6F2F" w:rsidP="00AF6F2F">
      <w:pPr>
        <w:spacing w:after="0" w:line="240" w:lineRule="auto"/>
        <w:jc w:val="both"/>
        <w:rPr>
          <w:rFonts w:ascii="Barlow" w:hAnsi="Barlow" w:cs="Arial"/>
          <w:color w:val="203242"/>
        </w:rPr>
      </w:pPr>
      <w:r w:rsidRPr="00EC1CA6">
        <w:rPr>
          <w:rFonts w:ascii="Barlow" w:hAnsi="Barlow" w:cs="Arial"/>
          <w:color w:val="203242"/>
        </w:rPr>
        <w:t>Le Conseil municipal (Conseil d'Administration),</w:t>
      </w:r>
    </w:p>
    <w:p w14:paraId="687166FD" w14:textId="77777777" w:rsidR="00AF6F2F" w:rsidRPr="00EC1CA6" w:rsidRDefault="00AF6F2F" w:rsidP="00AF6F2F">
      <w:pPr>
        <w:spacing w:after="0" w:line="240" w:lineRule="auto"/>
        <w:jc w:val="both"/>
        <w:rPr>
          <w:rFonts w:ascii="Barlow" w:hAnsi="Barlow" w:cs="Arial"/>
          <w:color w:val="203242"/>
        </w:rPr>
      </w:pPr>
    </w:p>
    <w:p w14:paraId="5D3072E3" w14:textId="41E5F596" w:rsidR="00AF6F2F" w:rsidRPr="00EC1CA6" w:rsidRDefault="00AF6F2F" w:rsidP="00AF6F2F">
      <w:pPr>
        <w:spacing w:after="0" w:line="240" w:lineRule="auto"/>
        <w:jc w:val="center"/>
        <w:rPr>
          <w:rFonts w:ascii="Barlow" w:hAnsi="Barlow" w:cs="Arial"/>
          <w:b/>
          <w:bCs/>
          <w:color w:val="203242"/>
        </w:rPr>
      </w:pPr>
      <w:r w:rsidRPr="00EC1CA6">
        <w:rPr>
          <w:rFonts w:ascii="Barlow" w:hAnsi="Barlow" w:cs="Arial"/>
          <w:b/>
          <w:bCs/>
          <w:color w:val="203242"/>
        </w:rPr>
        <w:t>DECIDE</w:t>
      </w:r>
    </w:p>
    <w:p w14:paraId="177DB75A" w14:textId="77777777" w:rsidR="00E33DFF" w:rsidRPr="00EC1CA6" w:rsidRDefault="00E33DFF" w:rsidP="002351E2">
      <w:pPr>
        <w:spacing w:after="0" w:line="240" w:lineRule="auto"/>
        <w:jc w:val="both"/>
        <w:rPr>
          <w:rFonts w:ascii="Barlow" w:hAnsi="Barlow" w:cs="Arial"/>
          <w:color w:val="203242"/>
        </w:rPr>
      </w:pPr>
    </w:p>
    <w:p w14:paraId="4CEFAE78" w14:textId="77777777" w:rsidR="002351E2" w:rsidRPr="00EC1CA6" w:rsidRDefault="002351E2" w:rsidP="002351E2">
      <w:pPr>
        <w:spacing w:after="0" w:line="240" w:lineRule="auto"/>
        <w:jc w:val="both"/>
        <w:rPr>
          <w:rFonts w:ascii="Barlow" w:hAnsi="Barlow" w:cs="Arial"/>
          <w:b/>
          <w:color w:val="203242"/>
        </w:rPr>
      </w:pPr>
      <w:r w:rsidRPr="00EC1CA6">
        <w:rPr>
          <w:rFonts w:ascii="Barlow" w:hAnsi="Barlow" w:cs="Arial"/>
          <w:b/>
          <w:color w:val="203242"/>
        </w:rPr>
        <w:t xml:space="preserve">1 – Les bénéficiaires potentiels </w:t>
      </w:r>
    </w:p>
    <w:p w14:paraId="220502F8" w14:textId="77777777" w:rsidR="002351E2" w:rsidRPr="00EC1CA6" w:rsidRDefault="002351E2" w:rsidP="002351E2">
      <w:pPr>
        <w:spacing w:after="0" w:line="240" w:lineRule="auto"/>
        <w:jc w:val="both"/>
        <w:rPr>
          <w:rFonts w:ascii="Barlow" w:hAnsi="Barlow" w:cs="Arial"/>
          <w:color w:val="203242"/>
        </w:rPr>
      </w:pPr>
    </w:p>
    <w:p w14:paraId="354FA19C" w14:textId="77777777" w:rsidR="002351E2" w:rsidRPr="00EC1CA6" w:rsidRDefault="002351E2" w:rsidP="002351E2">
      <w:pPr>
        <w:spacing w:after="0" w:line="240" w:lineRule="auto"/>
        <w:jc w:val="both"/>
        <w:rPr>
          <w:rFonts w:ascii="Barlow" w:hAnsi="Barlow" w:cs="Arial"/>
          <w:color w:val="203242"/>
        </w:rPr>
      </w:pPr>
      <w:r w:rsidRPr="00EC1CA6">
        <w:rPr>
          <w:rFonts w:ascii="Barlow" w:hAnsi="Barlow" w:cs="Arial"/>
          <w:color w:val="203242"/>
        </w:rPr>
        <w:t>Sont concernés :</w:t>
      </w:r>
    </w:p>
    <w:p w14:paraId="4AF7BC62" w14:textId="7219B623" w:rsidR="002351E2" w:rsidRPr="00EC1CA6" w:rsidRDefault="002351E2" w:rsidP="694D0D5A">
      <w:pPr>
        <w:numPr>
          <w:ilvl w:val="0"/>
          <w:numId w:val="3"/>
        </w:numPr>
        <w:spacing w:after="0" w:line="240" w:lineRule="auto"/>
        <w:jc w:val="both"/>
        <w:rPr>
          <w:rFonts w:ascii="Barlow" w:hAnsi="Barlow" w:cs="Arial"/>
          <w:color w:val="2F5496" w:themeColor="accent1" w:themeShade="BF"/>
        </w:rPr>
      </w:pPr>
      <w:r w:rsidRPr="00EC1CA6">
        <w:rPr>
          <w:rFonts w:ascii="Barlow" w:hAnsi="Barlow" w:cs="Arial"/>
          <w:color w:val="0070C0"/>
        </w:rPr>
        <w:t>les fonctionnaires stagiaires et titulaires</w:t>
      </w:r>
      <w:r w:rsidR="00AF6F2F" w:rsidRPr="00EC1CA6">
        <w:rPr>
          <w:rFonts w:ascii="Barlow" w:hAnsi="Barlow" w:cs="Arial"/>
          <w:color w:val="0070C0"/>
        </w:rPr>
        <w:t xml:space="preserve"> de catégorie C et B,</w:t>
      </w:r>
    </w:p>
    <w:p w14:paraId="1D02C5DC" w14:textId="77777777" w:rsidR="002351E2" w:rsidRPr="00EC1CA6" w:rsidRDefault="002351E2" w:rsidP="694D0D5A">
      <w:pPr>
        <w:numPr>
          <w:ilvl w:val="0"/>
          <w:numId w:val="3"/>
        </w:numPr>
        <w:spacing w:after="0" w:line="240" w:lineRule="auto"/>
        <w:jc w:val="both"/>
        <w:rPr>
          <w:rFonts w:ascii="Barlow" w:hAnsi="Barlow" w:cs="Arial"/>
          <w:color w:val="2F5496" w:themeColor="accent1" w:themeShade="BF"/>
        </w:rPr>
      </w:pPr>
      <w:r w:rsidRPr="00EC1CA6">
        <w:rPr>
          <w:rFonts w:ascii="Barlow" w:hAnsi="Barlow" w:cs="Arial"/>
          <w:color w:val="0070C0"/>
        </w:rPr>
        <w:t xml:space="preserve">les agents contractuels de droit public sur les mêmes bases que celles prévues pour les fonctionnaires assurant des missions de même nature et même niveau hiérarchique. </w:t>
      </w:r>
    </w:p>
    <w:p w14:paraId="0FBB8658" w14:textId="0458EBBC" w:rsidR="00E33DFF" w:rsidRPr="00EC1CA6" w:rsidRDefault="00E33DFF" w:rsidP="694D0D5A">
      <w:pPr>
        <w:spacing w:after="0" w:line="240" w:lineRule="auto"/>
        <w:jc w:val="both"/>
        <w:rPr>
          <w:rFonts w:ascii="Barlow" w:hAnsi="Barlow" w:cs="Arial"/>
          <w:color w:val="203242"/>
        </w:rPr>
      </w:pPr>
    </w:p>
    <w:p w14:paraId="281D84A2" w14:textId="77777777" w:rsidR="002351E2" w:rsidRPr="00EC1CA6" w:rsidRDefault="002351E2" w:rsidP="002351E2">
      <w:pPr>
        <w:spacing w:after="0" w:line="240" w:lineRule="auto"/>
        <w:jc w:val="both"/>
        <w:rPr>
          <w:rFonts w:ascii="Barlow" w:hAnsi="Barlow" w:cs="Arial"/>
          <w:b/>
          <w:color w:val="203242"/>
        </w:rPr>
      </w:pPr>
      <w:r w:rsidRPr="00EC1CA6">
        <w:rPr>
          <w:rFonts w:ascii="Barlow" w:hAnsi="Barlow" w:cs="Arial"/>
          <w:b/>
          <w:color w:val="203242"/>
        </w:rPr>
        <w:t xml:space="preserve">2 – Les emplois concernés </w:t>
      </w:r>
    </w:p>
    <w:p w14:paraId="0F760A34" w14:textId="77777777" w:rsidR="002351E2" w:rsidRPr="00EC1CA6" w:rsidRDefault="002351E2" w:rsidP="002351E2">
      <w:pPr>
        <w:spacing w:after="0" w:line="240" w:lineRule="auto"/>
        <w:jc w:val="both"/>
        <w:rPr>
          <w:rFonts w:ascii="Barlow" w:hAnsi="Barlow" w:cs="Arial"/>
          <w:b/>
          <w:color w:val="203242"/>
        </w:rPr>
      </w:pPr>
    </w:p>
    <w:p w14:paraId="3E722E14"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center"/>
        <w:rPr>
          <w:rFonts w:ascii="Barlow" w:hAnsi="Barlow" w:cs="Arial"/>
          <w:b/>
          <w:bCs/>
          <w:i/>
          <w:iCs/>
          <w:color w:val="B52D51"/>
        </w:rPr>
      </w:pPr>
      <w:r w:rsidRPr="00EC1CA6">
        <w:rPr>
          <w:rFonts w:ascii="Barlow" w:hAnsi="Barlow" w:cs="Arial"/>
          <w:b/>
          <w:bCs/>
          <w:i/>
          <w:iCs/>
          <w:color w:val="B52D51"/>
        </w:rPr>
        <w:t>Cet encadré devra être supprimé du projet de délibération.</w:t>
      </w:r>
    </w:p>
    <w:p w14:paraId="3D5E9027"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both"/>
        <w:rPr>
          <w:rFonts w:ascii="Barlow" w:hAnsi="Barlow" w:cs="Arial"/>
          <w:i/>
          <w:iCs/>
          <w:color w:val="B52D51"/>
        </w:rPr>
      </w:pPr>
      <w:r w:rsidRPr="00EC1CA6">
        <w:rPr>
          <w:rFonts w:ascii="Barlow" w:hAnsi="Barlow" w:cs="Arial"/>
          <w:i/>
          <w:iCs/>
          <w:color w:val="B52D51"/>
        </w:rPr>
        <w:lastRenderedPageBreak/>
        <w:t>La collectivité doit établir la liste des emplois dont les missions impliquent la réalisation effective de travaux supplémentaires. Il est recommandé d’y associer un grade et/ou cadre d’emplois.</w:t>
      </w:r>
    </w:p>
    <w:p w14:paraId="6FCD0EAB"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both"/>
        <w:rPr>
          <w:rFonts w:ascii="Barlow" w:hAnsi="Barlow" w:cs="Arial"/>
          <w:i/>
          <w:iCs/>
          <w:color w:val="B52D51"/>
        </w:rPr>
      </w:pPr>
    </w:p>
    <w:p w14:paraId="28B8A28B"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both"/>
        <w:rPr>
          <w:rFonts w:ascii="Barlow" w:hAnsi="Barlow" w:cs="Arial"/>
          <w:b/>
          <w:bCs/>
          <w:i/>
          <w:iCs/>
          <w:color w:val="B52D51"/>
        </w:rPr>
      </w:pPr>
      <w:r w:rsidRPr="00EC1CA6">
        <w:rPr>
          <w:rFonts w:ascii="Barlow" w:hAnsi="Barlow" w:cs="Arial"/>
          <w:b/>
          <w:bCs/>
          <w:i/>
          <w:iCs/>
          <w:color w:val="B52D51"/>
        </w:rPr>
        <w:t xml:space="preserve">Exemples d’emplois : </w:t>
      </w:r>
    </w:p>
    <w:p w14:paraId="4E40820A"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both"/>
        <w:rPr>
          <w:rFonts w:ascii="Barlow" w:hAnsi="Barlow" w:cs="Arial"/>
          <w:i/>
          <w:iCs/>
          <w:color w:val="B52D51"/>
        </w:rPr>
      </w:pPr>
      <w:r w:rsidRPr="00EC1CA6">
        <w:rPr>
          <w:rFonts w:ascii="Barlow" w:hAnsi="Barlow" w:cs="Arial"/>
          <w:i/>
          <w:iCs/>
          <w:color w:val="B52D51"/>
        </w:rPr>
        <w:t>- secrétaire administrative/général de mairie (cadre d’emplois des adjoints administratifs territoriaux, des rédacteurs territoriaux et attachés territoriaux) ;</w:t>
      </w:r>
    </w:p>
    <w:p w14:paraId="1BC9A7C8"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both"/>
        <w:rPr>
          <w:rFonts w:ascii="Barlow" w:hAnsi="Barlow" w:cs="Arial"/>
          <w:i/>
          <w:iCs/>
          <w:color w:val="B52D51"/>
        </w:rPr>
      </w:pPr>
      <w:r w:rsidRPr="00EC1CA6">
        <w:rPr>
          <w:rFonts w:ascii="Barlow" w:hAnsi="Barlow" w:cs="Arial"/>
          <w:i/>
          <w:iCs/>
          <w:color w:val="B52D51"/>
        </w:rPr>
        <w:t>- agent d’entretien polyvalent (cadre d’emplois des adjoints techniques territoriaux)</w:t>
      </w:r>
    </w:p>
    <w:p w14:paraId="22365795"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both"/>
        <w:rPr>
          <w:rFonts w:ascii="Barlow" w:hAnsi="Barlow" w:cs="Arial"/>
          <w:i/>
          <w:iCs/>
          <w:color w:val="B52D51"/>
        </w:rPr>
      </w:pPr>
      <w:r w:rsidRPr="00EC1CA6">
        <w:rPr>
          <w:rFonts w:ascii="Barlow" w:hAnsi="Barlow" w:cs="Arial"/>
          <w:i/>
          <w:iCs/>
          <w:color w:val="B52D51"/>
        </w:rPr>
        <w:t>- technicien assainissement (cadre d’emplois des agents de maitrise et des techniciens territoriaux)</w:t>
      </w:r>
    </w:p>
    <w:p w14:paraId="19CAC440"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both"/>
        <w:rPr>
          <w:rFonts w:ascii="Barlow" w:hAnsi="Barlow" w:cs="Arial"/>
          <w:i/>
          <w:iCs/>
          <w:color w:val="B52D51"/>
        </w:rPr>
      </w:pPr>
      <w:r w:rsidRPr="00EC1CA6">
        <w:rPr>
          <w:rFonts w:ascii="Barlow" w:hAnsi="Barlow" w:cs="Arial"/>
          <w:i/>
          <w:iCs/>
          <w:color w:val="B52D51"/>
        </w:rPr>
        <w:t>- ATSEM (cadre d’emplois des agents territoriaux spécialisés des écoles maternelles)</w:t>
      </w:r>
    </w:p>
    <w:p w14:paraId="38C52BAC" w14:textId="3AD8C960" w:rsidR="00E33DFF" w:rsidRPr="00EC1CA6" w:rsidRDefault="002351E2" w:rsidP="694D0D5A">
      <w:pPr>
        <w:pBdr>
          <w:top w:val="single" w:sz="4" w:space="1" w:color="auto"/>
          <w:left w:val="single" w:sz="4" w:space="4" w:color="auto"/>
          <w:bottom w:val="single" w:sz="4" w:space="1" w:color="auto"/>
          <w:right w:val="single" w:sz="4" w:space="4" w:color="auto"/>
        </w:pBdr>
        <w:spacing w:after="0" w:line="240" w:lineRule="auto"/>
        <w:jc w:val="both"/>
        <w:rPr>
          <w:rFonts w:ascii="Barlow" w:hAnsi="Barlow" w:cs="Arial"/>
          <w:i/>
          <w:iCs/>
          <w:color w:val="B52D51"/>
        </w:rPr>
      </w:pPr>
      <w:r w:rsidRPr="00EC1CA6">
        <w:rPr>
          <w:rFonts w:ascii="Barlow" w:hAnsi="Barlow" w:cs="Arial"/>
          <w:i/>
          <w:iCs/>
          <w:color w:val="B52D51"/>
        </w:rPr>
        <w:t>- aide à domicile (cadre d’emplois des agents sociaux territoriaux)</w:t>
      </w:r>
    </w:p>
    <w:p w14:paraId="327CCD90" w14:textId="77777777" w:rsidR="00061717" w:rsidRPr="00EC1CA6" w:rsidRDefault="00061717" w:rsidP="002351E2">
      <w:pPr>
        <w:spacing w:after="0" w:line="240" w:lineRule="auto"/>
        <w:jc w:val="both"/>
        <w:rPr>
          <w:rFonts w:ascii="Barlow" w:hAnsi="Barlow" w:cs="Arial"/>
          <w:color w:val="203242"/>
        </w:rPr>
      </w:pPr>
    </w:p>
    <w:p w14:paraId="7F2928FE" w14:textId="7B316F03" w:rsidR="002351E2" w:rsidRPr="00EC1CA6" w:rsidRDefault="002351E2" w:rsidP="002351E2">
      <w:pPr>
        <w:spacing w:after="0" w:line="240" w:lineRule="auto"/>
        <w:jc w:val="both"/>
        <w:rPr>
          <w:rFonts w:ascii="Barlow" w:hAnsi="Barlow" w:cs="Arial"/>
          <w:color w:val="203242"/>
        </w:rPr>
      </w:pPr>
      <w:r w:rsidRPr="00EC1CA6">
        <w:rPr>
          <w:rFonts w:ascii="Barlow" w:hAnsi="Barlow" w:cs="Arial"/>
          <w:color w:val="203242"/>
        </w:rPr>
        <w:t xml:space="preserve">Les travaux supplémentaires pourraient être autorisés sur les emplois suivants : </w:t>
      </w:r>
    </w:p>
    <w:p w14:paraId="69168B5C" w14:textId="77777777" w:rsidR="002351E2" w:rsidRPr="00EC1CA6" w:rsidRDefault="002351E2" w:rsidP="002351E2">
      <w:pPr>
        <w:numPr>
          <w:ilvl w:val="0"/>
          <w:numId w:val="3"/>
        </w:numPr>
        <w:spacing w:after="0" w:line="240" w:lineRule="auto"/>
        <w:jc w:val="both"/>
        <w:rPr>
          <w:rFonts w:ascii="Barlow" w:hAnsi="Barlow" w:cs="Arial"/>
          <w:color w:val="203242"/>
        </w:rPr>
      </w:pPr>
      <w:r w:rsidRPr="00EC1CA6">
        <w:rPr>
          <w:rFonts w:ascii="Barlow" w:hAnsi="Barlow" w:cs="Arial"/>
          <w:color w:val="203242"/>
        </w:rPr>
        <w:t>……………………………..</w:t>
      </w:r>
    </w:p>
    <w:p w14:paraId="20ED48A0" w14:textId="77777777" w:rsidR="002351E2" w:rsidRPr="00EC1CA6" w:rsidRDefault="002351E2" w:rsidP="002351E2">
      <w:pPr>
        <w:numPr>
          <w:ilvl w:val="0"/>
          <w:numId w:val="3"/>
        </w:numPr>
        <w:spacing w:after="0" w:line="240" w:lineRule="auto"/>
        <w:jc w:val="both"/>
        <w:rPr>
          <w:rFonts w:ascii="Barlow" w:hAnsi="Barlow" w:cs="Arial"/>
          <w:color w:val="203242"/>
        </w:rPr>
      </w:pPr>
      <w:r w:rsidRPr="00EC1CA6">
        <w:rPr>
          <w:rFonts w:ascii="Barlow" w:hAnsi="Barlow" w:cs="Arial"/>
          <w:color w:val="203242"/>
        </w:rPr>
        <w:t>…………………………….</w:t>
      </w:r>
    </w:p>
    <w:p w14:paraId="4A07F3CC" w14:textId="77777777" w:rsidR="002351E2" w:rsidRPr="00EC1CA6" w:rsidRDefault="002351E2" w:rsidP="694D0D5A">
      <w:pPr>
        <w:numPr>
          <w:ilvl w:val="0"/>
          <w:numId w:val="3"/>
        </w:numPr>
        <w:spacing w:after="0" w:line="240" w:lineRule="auto"/>
        <w:jc w:val="both"/>
        <w:rPr>
          <w:rFonts w:ascii="Barlow" w:hAnsi="Barlow" w:cs="Arial"/>
          <w:i/>
          <w:iCs/>
          <w:color w:val="2F5496" w:themeColor="accent1" w:themeShade="BF"/>
        </w:rPr>
      </w:pPr>
      <w:r w:rsidRPr="00EC1CA6">
        <w:rPr>
          <w:rFonts w:ascii="Barlow" w:hAnsi="Barlow" w:cs="Arial"/>
          <w:color w:val="0070C0"/>
        </w:rPr>
        <w:t xml:space="preserve">sur les emplois occupés par des agents contractuels de droit public assurant des missions relevant de ces emplois </w:t>
      </w:r>
      <w:r w:rsidRPr="00EC1CA6">
        <w:rPr>
          <w:rFonts w:ascii="Barlow" w:hAnsi="Barlow" w:cs="Arial"/>
          <w:i/>
          <w:iCs/>
          <w:color w:val="0070C0"/>
        </w:rPr>
        <w:t>(préciser les missions).</w:t>
      </w:r>
    </w:p>
    <w:p w14:paraId="2E20B280" w14:textId="77777777" w:rsidR="002351E2" w:rsidRPr="00EC1CA6" w:rsidRDefault="002351E2" w:rsidP="002351E2">
      <w:pPr>
        <w:spacing w:after="0" w:line="240" w:lineRule="auto"/>
        <w:jc w:val="both"/>
        <w:rPr>
          <w:rFonts w:ascii="Barlow" w:hAnsi="Barlow"/>
          <w:sz w:val="16"/>
          <w:szCs w:val="16"/>
        </w:rPr>
      </w:pPr>
    </w:p>
    <w:p w14:paraId="376CA6BA" w14:textId="77777777" w:rsidR="002351E2" w:rsidRPr="00EC1CA6" w:rsidRDefault="002351E2" w:rsidP="002351E2">
      <w:pPr>
        <w:spacing w:after="0" w:line="240" w:lineRule="auto"/>
        <w:jc w:val="both"/>
        <w:rPr>
          <w:rFonts w:ascii="Barlow" w:hAnsi="Barlow"/>
          <w:sz w:val="16"/>
          <w:szCs w:val="16"/>
        </w:rPr>
      </w:pPr>
    </w:p>
    <w:p w14:paraId="5E44F952" w14:textId="77777777" w:rsidR="002351E2" w:rsidRPr="00EC1CA6" w:rsidRDefault="002351E2" w:rsidP="002351E2">
      <w:pPr>
        <w:spacing w:after="0" w:line="240" w:lineRule="auto"/>
        <w:jc w:val="both"/>
        <w:rPr>
          <w:rFonts w:ascii="Barlow" w:hAnsi="Barlow" w:cs="Arial"/>
          <w:b/>
          <w:color w:val="203242"/>
        </w:rPr>
      </w:pPr>
      <w:r w:rsidRPr="00EC1CA6">
        <w:rPr>
          <w:rFonts w:ascii="Barlow" w:hAnsi="Barlow" w:cs="Arial"/>
          <w:b/>
          <w:color w:val="203242"/>
        </w:rPr>
        <w:t>3– Gestion selon le temps de travail</w:t>
      </w:r>
    </w:p>
    <w:p w14:paraId="171DB122" w14:textId="77777777" w:rsidR="002351E2" w:rsidRPr="00EC1CA6" w:rsidRDefault="002351E2" w:rsidP="002351E2">
      <w:pPr>
        <w:spacing w:after="0" w:line="240" w:lineRule="auto"/>
        <w:jc w:val="both"/>
        <w:rPr>
          <w:rFonts w:ascii="Barlow" w:hAnsi="Barlow" w:cs="Arial"/>
          <w:color w:val="203242"/>
        </w:rPr>
      </w:pPr>
    </w:p>
    <w:p w14:paraId="69211FDE" w14:textId="77777777" w:rsidR="002351E2" w:rsidRPr="00EC1CA6" w:rsidRDefault="002351E2" w:rsidP="002351E2">
      <w:pPr>
        <w:spacing w:after="0" w:line="240" w:lineRule="auto"/>
        <w:jc w:val="both"/>
        <w:rPr>
          <w:rFonts w:ascii="Barlow" w:hAnsi="Barlow" w:cs="Arial"/>
          <w:color w:val="203242"/>
        </w:rPr>
      </w:pPr>
      <w:r w:rsidRPr="00EC1CA6">
        <w:rPr>
          <w:rFonts w:ascii="Barlow" w:hAnsi="Barlow" w:cs="Arial"/>
          <w:color w:val="203242"/>
        </w:rPr>
        <w:t xml:space="preserve">Le recours aux travaux supplémentaires donnant lieu à indemnisation est subordonné à la mise en œuvre de moyens de contrôle automatisé permettant de comptabiliser de façon exacte les heures complémentaires et supplémentaires accomplies. </w:t>
      </w:r>
    </w:p>
    <w:p w14:paraId="24AAC1FA" w14:textId="77777777" w:rsidR="002351E2" w:rsidRPr="00EC1CA6" w:rsidRDefault="002351E2" w:rsidP="002351E2">
      <w:pPr>
        <w:spacing w:after="0" w:line="240" w:lineRule="auto"/>
        <w:jc w:val="both"/>
        <w:rPr>
          <w:rFonts w:ascii="Barlow" w:hAnsi="Barlow" w:cs="Arial"/>
          <w:color w:val="203242"/>
        </w:rPr>
      </w:pPr>
    </w:p>
    <w:p w14:paraId="3AE223BD" w14:textId="77777777" w:rsidR="00781A68" w:rsidRPr="00EC1CA6" w:rsidRDefault="00781A68" w:rsidP="00781A68">
      <w:pPr>
        <w:spacing w:after="0" w:line="240" w:lineRule="auto"/>
        <w:jc w:val="both"/>
        <w:rPr>
          <w:rFonts w:ascii="Barlow" w:hAnsi="Barlow" w:cs="Arial"/>
          <w:i/>
          <w:iCs/>
          <w:color w:val="2F5496" w:themeColor="accent1" w:themeShade="BF"/>
        </w:rPr>
      </w:pPr>
      <w:r w:rsidRPr="00EC1CA6">
        <w:rPr>
          <w:rFonts w:ascii="Barlow" w:hAnsi="Barlow" w:cs="Arial"/>
          <w:i/>
          <w:iCs/>
          <w:color w:val="0070C0"/>
        </w:rPr>
        <w:t>(À adapter) S'agissant des personnels exerçant leur activité hors de leurs locaux de rattachement, un décompte déclaratif contrôlable peut remplacer le dispositif de contrôle automatisé. Les sites concernés par ce décompte sont les suivants :</w:t>
      </w:r>
    </w:p>
    <w:p w14:paraId="1081E081" w14:textId="77777777" w:rsidR="00781A68" w:rsidRPr="00EC1CA6" w:rsidRDefault="00781A68" w:rsidP="00781A68">
      <w:pPr>
        <w:numPr>
          <w:ilvl w:val="0"/>
          <w:numId w:val="3"/>
        </w:numPr>
        <w:spacing w:after="0" w:line="240" w:lineRule="auto"/>
        <w:jc w:val="both"/>
        <w:rPr>
          <w:rFonts w:ascii="Barlow" w:hAnsi="Barlow" w:cs="Arial"/>
          <w:i/>
          <w:iCs/>
          <w:color w:val="2F5496" w:themeColor="accent1" w:themeShade="BF"/>
        </w:rPr>
      </w:pPr>
      <w:r w:rsidRPr="00EC1CA6">
        <w:rPr>
          <w:rFonts w:ascii="Barlow" w:hAnsi="Barlow" w:cs="Arial"/>
          <w:i/>
          <w:iCs/>
          <w:color w:val="0070C0"/>
        </w:rPr>
        <w:t xml:space="preserve">… </w:t>
      </w:r>
    </w:p>
    <w:p w14:paraId="618E7C58" w14:textId="77777777" w:rsidR="00781A68" w:rsidRPr="00EC1CA6" w:rsidRDefault="00781A68" w:rsidP="00781A68">
      <w:pPr>
        <w:spacing w:after="0" w:line="240" w:lineRule="auto"/>
        <w:jc w:val="both"/>
        <w:rPr>
          <w:rFonts w:ascii="Barlow" w:hAnsi="Barlow" w:cs="Arial"/>
          <w:i/>
          <w:iCs/>
          <w:color w:val="2F5496" w:themeColor="accent1" w:themeShade="BF"/>
        </w:rPr>
      </w:pPr>
    </w:p>
    <w:p w14:paraId="324520C0" w14:textId="77777777" w:rsidR="00781A68" w:rsidRPr="00EC1CA6" w:rsidRDefault="00781A68" w:rsidP="00781A68">
      <w:pPr>
        <w:spacing w:after="0" w:line="240" w:lineRule="auto"/>
        <w:jc w:val="both"/>
        <w:rPr>
          <w:rFonts w:ascii="Barlow" w:hAnsi="Barlow" w:cs="Arial"/>
          <w:i/>
          <w:iCs/>
          <w:color w:val="2F5496" w:themeColor="accent1" w:themeShade="BF"/>
        </w:rPr>
      </w:pPr>
      <w:r w:rsidRPr="00EC1CA6">
        <w:rPr>
          <w:rFonts w:ascii="Barlow" w:hAnsi="Barlow" w:cs="Arial"/>
          <w:i/>
          <w:iCs/>
          <w:color w:val="0070C0"/>
        </w:rPr>
        <w:t>(À adapter) Un décompte déclaratif peut également être utilisé pour les sites dont l'effectif des agents susceptibles d'effectuer des travaux supplémentaires est inférieur à 10. Les fonctions concernées par ce décompte sont les suivantes :</w:t>
      </w:r>
    </w:p>
    <w:p w14:paraId="3978D265" w14:textId="77777777" w:rsidR="00781A68" w:rsidRPr="00EC1CA6" w:rsidRDefault="00781A68" w:rsidP="00781A68">
      <w:pPr>
        <w:numPr>
          <w:ilvl w:val="0"/>
          <w:numId w:val="3"/>
        </w:numPr>
        <w:spacing w:after="0" w:line="240" w:lineRule="auto"/>
        <w:jc w:val="both"/>
        <w:rPr>
          <w:rFonts w:ascii="Barlow" w:hAnsi="Barlow" w:cs="Arial"/>
          <w:i/>
          <w:iCs/>
          <w:color w:val="2F5496" w:themeColor="accent1" w:themeShade="BF"/>
        </w:rPr>
      </w:pPr>
      <w:r w:rsidRPr="00EC1CA6">
        <w:rPr>
          <w:rFonts w:ascii="Barlow" w:hAnsi="Barlow" w:cs="Arial"/>
          <w:i/>
          <w:iCs/>
          <w:color w:val="0070C0"/>
        </w:rPr>
        <w:t xml:space="preserve">… </w:t>
      </w:r>
    </w:p>
    <w:p w14:paraId="74354698" w14:textId="77777777" w:rsidR="00781A68" w:rsidRPr="00EC1CA6" w:rsidRDefault="00781A68" w:rsidP="002351E2">
      <w:pPr>
        <w:spacing w:after="0" w:line="240" w:lineRule="auto"/>
        <w:jc w:val="both"/>
        <w:rPr>
          <w:rFonts w:ascii="Barlow" w:hAnsi="Barlow" w:cs="Arial"/>
          <w:color w:val="203242"/>
        </w:rPr>
      </w:pPr>
    </w:p>
    <w:p w14:paraId="45E0517C" w14:textId="77777777" w:rsidR="002351E2" w:rsidRPr="00EC1CA6" w:rsidRDefault="002351E2" w:rsidP="008C67F6">
      <w:pPr>
        <w:spacing w:after="0" w:line="240" w:lineRule="auto"/>
        <w:ind w:firstLine="708"/>
        <w:jc w:val="both"/>
        <w:rPr>
          <w:rFonts w:ascii="Barlow" w:hAnsi="Barlow" w:cs="Arial"/>
          <w:b/>
          <w:color w:val="203242"/>
        </w:rPr>
      </w:pPr>
      <w:r w:rsidRPr="00EC1CA6">
        <w:rPr>
          <w:rFonts w:ascii="Barlow" w:hAnsi="Barlow" w:cs="Arial"/>
          <w:b/>
          <w:color w:val="203242"/>
        </w:rPr>
        <w:t>3.1 – Les heures complémentaires</w:t>
      </w:r>
    </w:p>
    <w:p w14:paraId="49A2EEB1" w14:textId="77777777" w:rsidR="002351E2" w:rsidRPr="00EC1CA6" w:rsidRDefault="002351E2" w:rsidP="002351E2">
      <w:pPr>
        <w:spacing w:after="0" w:line="240" w:lineRule="auto"/>
        <w:jc w:val="both"/>
        <w:rPr>
          <w:rFonts w:ascii="Barlow" w:hAnsi="Barlow" w:cs="Arial"/>
          <w:color w:val="203242"/>
        </w:rPr>
      </w:pPr>
    </w:p>
    <w:p w14:paraId="0AABE4AE"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center"/>
        <w:rPr>
          <w:rFonts w:ascii="Barlow" w:hAnsi="Barlow" w:cs="Arial"/>
          <w:b/>
          <w:bCs/>
          <w:i/>
          <w:iCs/>
          <w:color w:val="B52D51"/>
        </w:rPr>
      </w:pPr>
      <w:r w:rsidRPr="00EC1CA6">
        <w:rPr>
          <w:rFonts w:ascii="Barlow" w:hAnsi="Barlow" w:cs="Arial"/>
          <w:b/>
          <w:bCs/>
          <w:i/>
          <w:iCs/>
          <w:color w:val="B52D51"/>
        </w:rPr>
        <w:t>Cet encadré devra être supprimé du projet de délibération.</w:t>
      </w:r>
    </w:p>
    <w:p w14:paraId="7F709BA8"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center"/>
        <w:rPr>
          <w:rFonts w:ascii="Barlow" w:hAnsi="Barlow" w:cs="Arial"/>
          <w:i/>
          <w:iCs/>
          <w:color w:val="B52D51"/>
          <w:u w:val="single"/>
        </w:rPr>
      </w:pPr>
      <w:r w:rsidRPr="00EC1CA6">
        <w:rPr>
          <w:rFonts w:ascii="Barlow" w:hAnsi="Barlow" w:cs="Arial"/>
          <w:i/>
          <w:iCs/>
          <w:color w:val="B52D51"/>
          <w:u w:val="single"/>
        </w:rPr>
        <w:t xml:space="preserve">A noter : la majoration des heures complémentaires est </w:t>
      </w:r>
      <w:r w:rsidRPr="00EC1CA6">
        <w:rPr>
          <w:rFonts w:ascii="Barlow" w:hAnsi="Barlow" w:cs="Arial"/>
          <w:b/>
          <w:bCs/>
          <w:i/>
          <w:iCs/>
          <w:color w:val="B52D51"/>
          <w:u w:val="single"/>
        </w:rPr>
        <w:t>facultative</w:t>
      </w:r>
      <w:r w:rsidRPr="00EC1CA6">
        <w:rPr>
          <w:rFonts w:ascii="Barlow" w:hAnsi="Barlow" w:cs="Arial"/>
          <w:i/>
          <w:iCs/>
          <w:color w:val="B52D51"/>
          <w:u w:val="single"/>
        </w:rPr>
        <w:t>.</w:t>
      </w:r>
    </w:p>
    <w:p w14:paraId="1E1081EE"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both"/>
        <w:rPr>
          <w:rFonts w:ascii="Barlow" w:hAnsi="Barlow" w:cs="Arial"/>
          <w:i/>
          <w:iCs/>
          <w:color w:val="B52D51"/>
        </w:rPr>
      </w:pPr>
    </w:p>
    <w:p w14:paraId="7A5551B6"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both"/>
        <w:rPr>
          <w:rFonts w:ascii="Barlow" w:hAnsi="Barlow" w:cs="Arial"/>
          <w:i/>
          <w:iCs/>
          <w:color w:val="B52D51"/>
        </w:rPr>
      </w:pPr>
      <w:r w:rsidRPr="00EC1CA6">
        <w:rPr>
          <w:rFonts w:ascii="Barlow" w:hAnsi="Barlow" w:cs="Arial"/>
          <w:b/>
          <w:bCs/>
          <w:i/>
          <w:iCs/>
          <w:color w:val="B52D51"/>
        </w:rPr>
        <w:t>Exemple :</w:t>
      </w:r>
      <w:r w:rsidRPr="00EC1CA6">
        <w:rPr>
          <w:rFonts w:ascii="Barlow" w:hAnsi="Barlow" w:cs="Arial"/>
          <w:i/>
          <w:iCs/>
          <w:color w:val="B52D51"/>
        </w:rPr>
        <w:t xml:space="preserve"> </w:t>
      </w:r>
    </w:p>
    <w:p w14:paraId="362CB38C"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both"/>
        <w:rPr>
          <w:rFonts w:ascii="Barlow" w:hAnsi="Barlow" w:cs="Arial"/>
          <w:i/>
          <w:iCs/>
          <w:color w:val="B52D51"/>
        </w:rPr>
      </w:pPr>
      <w:r w:rsidRPr="00EC1CA6">
        <w:rPr>
          <w:rFonts w:ascii="Barlow" w:hAnsi="Barlow" w:cs="Arial"/>
          <w:i/>
          <w:iCs/>
          <w:color w:val="B52D51"/>
        </w:rPr>
        <w:t>Un agent à temps non complet qui travaille habituellement 25 h /semaine et qui réalise 15 heures supplémentaires sur une semaine :</w:t>
      </w:r>
    </w:p>
    <w:p w14:paraId="6BF0C238"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both"/>
        <w:rPr>
          <w:rFonts w:ascii="Barlow" w:hAnsi="Barlow" w:cs="Arial"/>
          <w:i/>
          <w:iCs/>
          <w:color w:val="B52D51"/>
        </w:rPr>
      </w:pPr>
    </w:p>
    <w:p w14:paraId="0E57DFAC"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both"/>
        <w:rPr>
          <w:rFonts w:ascii="Barlow" w:hAnsi="Barlow" w:cs="Arial"/>
          <w:i/>
          <w:iCs/>
          <w:color w:val="B52D51"/>
        </w:rPr>
      </w:pPr>
      <w:r w:rsidRPr="00EC1CA6">
        <w:rPr>
          <w:rFonts w:ascii="Barlow" w:hAnsi="Barlow" w:cs="Arial"/>
          <w:i/>
          <w:iCs/>
          <w:color w:val="B52D51"/>
        </w:rPr>
        <w:t>- les 10 premières heures sont des heures complémentaires qui peuvent être rémunérées :</w:t>
      </w:r>
    </w:p>
    <w:p w14:paraId="5C2C90BD"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both"/>
        <w:rPr>
          <w:rFonts w:ascii="Barlow" w:hAnsi="Barlow" w:cs="Arial"/>
          <w:i/>
          <w:iCs/>
          <w:color w:val="B52D51"/>
        </w:rPr>
      </w:pPr>
      <w:r w:rsidRPr="00EC1CA6">
        <w:rPr>
          <w:rFonts w:ascii="Barlow" w:hAnsi="Barlow" w:cs="Arial"/>
          <w:i/>
          <w:color w:val="B52D51"/>
          <w:sz w:val="20"/>
          <w:szCs w:val="20"/>
        </w:rPr>
        <w:tab/>
      </w:r>
      <w:r w:rsidRPr="00EC1CA6">
        <w:rPr>
          <w:rFonts w:ascii="Barlow" w:hAnsi="Barlow" w:cs="Arial"/>
          <w:i/>
          <w:iCs/>
          <w:color w:val="B52D51"/>
        </w:rPr>
        <w:t xml:space="preserve">* soit sans majoration selon le taux horaire de rémunération (somme du montant annuel du traitement brut d’un agent à temps complet/1820), </w:t>
      </w:r>
    </w:p>
    <w:p w14:paraId="34B998E6"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ind w:firstLine="708"/>
        <w:jc w:val="both"/>
        <w:rPr>
          <w:rFonts w:ascii="Barlow" w:hAnsi="Barlow" w:cs="Arial"/>
          <w:i/>
          <w:iCs/>
          <w:color w:val="B52D51"/>
        </w:rPr>
      </w:pPr>
      <w:r w:rsidRPr="00EC1CA6">
        <w:rPr>
          <w:rFonts w:ascii="Barlow" w:hAnsi="Barlow" w:cs="Arial"/>
          <w:i/>
          <w:iCs/>
          <w:color w:val="B52D51"/>
        </w:rPr>
        <w:t>* soit avec une majoration de 10% pour 2,5h (1/10x25h) et de 25% pour 7,5h (10h-2,5h).</w:t>
      </w:r>
    </w:p>
    <w:p w14:paraId="4F2B7B28"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ind w:firstLine="708"/>
        <w:jc w:val="both"/>
        <w:rPr>
          <w:rFonts w:ascii="Barlow" w:hAnsi="Barlow" w:cs="Arial"/>
          <w:i/>
          <w:iCs/>
          <w:color w:val="B52D51"/>
        </w:rPr>
      </w:pPr>
    </w:p>
    <w:p w14:paraId="522091EF" w14:textId="77777777" w:rsidR="002351E2" w:rsidRPr="00EC1CA6" w:rsidRDefault="002351E2" w:rsidP="002351E2">
      <w:pPr>
        <w:pBdr>
          <w:top w:val="single" w:sz="4" w:space="1" w:color="auto"/>
          <w:left w:val="single" w:sz="4" w:space="4" w:color="auto"/>
          <w:bottom w:val="single" w:sz="4" w:space="1" w:color="auto"/>
          <w:right w:val="single" w:sz="4" w:space="4" w:color="auto"/>
        </w:pBdr>
        <w:spacing w:after="0" w:line="240" w:lineRule="auto"/>
        <w:jc w:val="both"/>
        <w:rPr>
          <w:rFonts w:ascii="Barlow" w:hAnsi="Barlow" w:cs="Arial"/>
          <w:i/>
          <w:iCs/>
          <w:color w:val="B52D51"/>
        </w:rPr>
      </w:pPr>
      <w:r w:rsidRPr="00EC1CA6">
        <w:rPr>
          <w:rFonts w:ascii="Barlow" w:hAnsi="Barlow" w:cs="Arial"/>
          <w:i/>
          <w:iCs/>
          <w:color w:val="B52D51"/>
        </w:rPr>
        <w:t>- les 5 dernières heures seront rémunérées au titre d'heures supplémentaires ou compensées par du repos.</w:t>
      </w:r>
    </w:p>
    <w:p w14:paraId="468B66F3" w14:textId="77777777" w:rsidR="002351E2" w:rsidRPr="00EC1CA6" w:rsidRDefault="002351E2" w:rsidP="002351E2">
      <w:pPr>
        <w:spacing w:after="0" w:line="240" w:lineRule="auto"/>
        <w:jc w:val="both"/>
        <w:rPr>
          <w:rFonts w:ascii="Barlow" w:hAnsi="Barlow" w:cs="Arial"/>
          <w:color w:val="203242"/>
          <w:highlight w:val="yellow"/>
        </w:rPr>
      </w:pPr>
    </w:p>
    <w:p w14:paraId="6CF94C0B" w14:textId="77777777" w:rsidR="002351E2" w:rsidRPr="00EC1CA6" w:rsidRDefault="002351E2" w:rsidP="002351E2">
      <w:pPr>
        <w:spacing w:after="0" w:line="240" w:lineRule="auto"/>
        <w:jc w:val="both"/>
        <w:rPr>
          <w:rFonts w:ascii="Barlow" w:hAnsi="Barlow" w:cs="Arial"/>
          <w:color w:val="203242"/>
        </w:rPr>
      </w:pPr>
      <w:r w:rsidRPr="00EC1CA6">
        <w:rPr>
          <w:rFonts w:ascii="Barlow" w:hAnsi="Barlow" w:cs="Arial"/>
          <w:color w:val="203242"/>
        </w:rPr>
        <w:lastRenderedPageBreak/>
        <w:t xml:space="preserve">Les heures effectuées au-delà de la durée hebdomadaire prévue pour leur poste de travail, mais qui ne dépassent pas la durée du cycle de travail défini pour le poste de travail applicable à un agent à temps complet sont des heures complémentaires. </w:t>
      </w:r>
    </w:p>
    <w:p w14:paraId="32E7450C" w14:textId="77777777" w:rsidR="002351E2" w:rsidRPr="00EC1CA6" w:rsidRDefault="002351E2" w:rsidP="002351E2">
      <w:pPr>
        <w:spacing w:after="0" w:line="240" w:lineRule="auto"/>
        <w:jc w:val="both"/>
        <w:rPr>
          <w:rFonts w:ascii="Barlow" w:hAnsi="Barlow" w:cs="Arial"/>
          <w:color w:val="203242"/>
        </w:rPr>
      </w:pPr>
    </w:p>
    <w:p w14:paraId="6D50AB5B" w14:textId="77777777" w:rsidR="002351E2" w:rsidRPr="00EC1CA6" w:rsidRDefault="002351E2" w:rsidP="002351E2">
      <w:pPr>
        <w:spacing w:after="0" w:line="240" w:lineRule="auto"/>
        <w:jc w:val="both"/>
        <w:rPr>
          <w:rFonts w:ascii="Barlow" w:hAnsi="Barlow" w:cs="Arial"/>
          <w:color w:val="203242"/>
        </w:rPr>
      </w:pPr>
      <w:r w:rsidRPr="00EC1CA6">
        <w:rPr>
          <w:rFonts w:ascii="Barlow" w:hAnsi="Barlow" w:cs="Arial"/>
          <w:color w:val="203242"/>
        </w:rPr>
        <w:t>La rémunération d'une heure complémentaire est déterminée en divisant par 1 820 la somme du montant annuel du traitement brut et, le cas échéant, de l'indemnité de résidence d'un agent au même indice exerçant à temps complet.</w:t>
      </w:r>
    </w:p>
    <w:p w14:paraId="4ACAC5A2" w14:textId="77777777" w:rsidR="002351E2" w:rsidRPr="00EC1CA6" w:rsidRDefault="002351E2" w:rsidP="002351E2">
      <w:pPr>
        <w:spacing w:after="0" w:line="240" w:lineRule="auto"/>
        <w:jc w:val="both"/>
        <w:rPr>
          <w:rFonts w:ascii="Barlow" w:hAnsi="Barlow" w:cs="Arial"/>
          <w:color w:val="203242"/>
        </w:rPr>
      </w:pPr>
    </w:p>
    <w:p w14:paraId="600CB031" w14:textId="77777777" w:rsidR="002351E2" w:rsidRPr="00EC1CA6" w:rsidRDefault="002351E2" w:rsidP="694D0D5A">
      <w:pPr>
        <w:spacing w:after="0" w:line="240" w:lineRule="auto"/>
        <w:jc w:val="both"/>
        <w:rPr>
          <w:rFonts w:ascii="Barlow" w:hAnsi="Barlow" w:cs="Arial"/>
          <w:color w:val="2F5496" w:themeColor="accent1" w:themeShade="BF"/>
        </w:rPr>
      </w:pPr>
      <w:r w:rsidRPr="00EC1CA6">
        <w:rPr>
          <w:rFonts w:ascii="Barlow" w:hAnsi="Barlow" w:cs="Arial"/>
          <w:color w:val="0070C0"/>
        </w:rPr>
        <w:t>Les heures complémentaires ne feront pas l’objet d’une majoration.</w:t>
      </w:r>
    </w:p>
    <w:p w14:paraId="61D0278F" w14:textId="77777777" w:rsidR="00E33DFF" w:rsidRPr="00EC1CA6" w:rsidRDefault="00E33DFF" w:rsidP="694D0D5A">
      <w:pPr>
        <w:spacing w:after="0" w:line="240" w:lineRule="auto"/>
        <w:jc w:val="both"/>
        <w:rPr>
          <w:rFonts w:ascii="Barlow" w:hAnsi="Barlow" w:cs="Arial"/>
          <w:color w:val="2F5496" w:themeColor="accent1" w:themeShade="BF"/>
        </w:rPr>
      </w:pPr>
    </w:p>
    <w:p w14:paraId="098A7809" w14:textId="77777777" w:rsidR="002351E2" w:rsidRPr="00EC1CA6" w:rsidRDefault="002351E2" w:rsidP="694D0D5A">
      <w:pPr>
        <w:spacing w:after="0" w:line="240" w:lineRule="auto"/>
        <w:jc w:val="both"/>
        <w:rPr>
          <w:rFonts w:ascii="Barlow" w:hAnsi="Barlow" w:cs="Arial"/>
          <w:b/>
          <w:bCs/>
          <w:color w:val="2F5496" w:themeColor="accent1" w:themeShade="BF"/>
          <w:u w:val="single"/>
        </w:rPr>
      </w:pPr>
      <w:r w:rsidRPr="00EC1CA6">
        <w:rPr>
          <w:rFonts w:ascii="Barlow" w:hAnsi="Barlow" w:cs="Arial"/>
          <w:b/>
          <w:bCs/>
          <w:color w:val="0070C0"/>
          <w:u w:val="single"/>
        </w:rPr>
        <w:t>OU</w:t>
      </w:r>
    </w:p>
    <w:p w14:paraId="202BB801" w14:textId="77777777" w:rsidR="00E33DFF" w:rsidRPr="00EC1CA6" w:rsidRDefault="00E33DFF" w:rsidP="694D0D5A">
      <w:pPr>
        <w:spacing w:after="0" w:line="240" w:lineRule="auto"/>
        <w:jc w:val="both"/>
        <w:rPr>
          <w:rFonts w:ascii="Barlow" w:hAnsi="Barlow" w:cs="Arial"/>
          <w:b/>
          <w:bCs/>
          <w:color w:val="2F5496" w:themeColor="accent1" w:themeShade="BF"/>
          <w:u w:val="single"/>
        </w:rPr>
      </w:pPr>
    </w:p>
    <w:p w14:paraId="483EC3D2" w14:textId="77777777" w:rsidR="002351E2" w:rsidRPr="00EC1CA6" w:rsidRDefault="002351E2" w:rsidP="694D0D5A">
      <w:pPr>
        <w:spacing w:after="0" w:line="240" w:lineRule="auto"/>
        <w:jc w:val="both"/>
        <w:rPr>
          <w:rFonts w:ascii="Barlow" w:hAnsi="Barlow" w:cs="Arial"/>
          <w:color w:val="2F5496" w:themeColor="accent1" w:themeShade="BF"/>
        </w:rPr>
      </w:pPr>
      <w:r w:rsidRPr="00EC1CA6">
        <w:rPr>
          <w:rFonts w:ascii="Barlow" w:hAnsi="Barlow" w:cs="Arial"/>
          <w:color w:val="0070C0"/>
        </w:rPr>
        <w:t>Les heures complémentaires font l’objet d’une majoration de 10 % pour chacune des heures accomplies dans la limite du dixième des heures hebdomadaires de service afférentes à l'emploi à temps non complet et de 25 % pour les heures suivantes.</w:t>
      </w:r>
    </w:p>
    <w:p w14:paraId="2AEB37BE" w14:textId="77777777" w:rsidR="002351E2" w:rsidRPr="00EC1CA6" w:rsidRDefault="002351E2" w:rsidP="002351E2">
      <w:pPr>
        <w:spacing w:after="0" w:line="240" w:lineRule="auto"/>
        <w:jc w:val="both"/>
        <w:rPr>
          <w:rFonts w:ascii="Barlow" w:hAnsi="Barlow" w:cs="Arial"/>
          <w:color w:val="203242"/>
        </w:rPr>
      </w:pPr>
    </w:p>
    <w:p w14:paraId="1CC62F72" w14:textId="2EEFED12" w:rsidR="002351E2" w:rsidRPr="00EC1CA6" w:rsidRDefault="002351E2" w:rsidP="002351E2">
      <w:pPr>
        <w:spacing w:after="0" w:line="240" w:lineRule="auto"/>
        <w:jc w:val="both"/>
        <w:rPr>
          <w:rFonts w:ascii="Barlow" w:hAnsi="Barlow" w:cs="Arial"/>
          <w:color w:val="203242"/>
        </w:rPr>
      </w:pPr>
      <w:r w:rsidRPr="00EC1CA6">
        <w:rPr>
          <w:rFonts w:ascii="Barlow" w:hAnsi="Barlow" w:cs="Arial"/>
          <w:color w:val="203242"/>
        </w:rPr>
        <w:t xml:space="preserve">Les heures réalisées au-delà de la durée du cycle de travail applicable à un agent à temps complet seront </w:t>
      </w:r>
      <w:r w:rsidR="008B085E" w:rsidRPr="00EC1CA6">
        <w:rPr>
          <w:rFonts w:ascii="Barlow" w:hAnsi="Barlow" w:cs="Arial"/>
          <w:color w:val="203242"/>
        </w:rPr>
        <w:t>rémunérées</w:t>
      </w:r>
      <w:r w:rsidRPr="00EC1CA6">
        <w:rPr>
          <w:rFonts w:ascii="Barlow" w:hAnsi="Barlow" w:cs="Arial"/>
          <w:color w:val="203242"/>
        </w:rPr>
        <w:t xml:space="preserve"> selon </w:t>
      </w:r>
      <w:r w:rsidR="008B085E" w:rsidRPr="00EC1CA6">
        <w:rPr>
          <w:rFonts w:ascii="Barlow" w:hAnsi="Barlow" w:cs="Arial"/>
          <w:color w:val="203242"/>
        </w:rPr>
        <w:t>la réglementation en</w:t>
      </w:r>
      <w:r w:rsidRPr="00EC1CA6">
        <w:rPr>
          <w:rFonts w:ascii="Barlow" w:hAnsi="Barlow" w:cs="Arial"/>
          <w:color w:val="203242"/>
        </w:rPr>
        <w:t xml:space="preserve"> vigueur. </w:t>
      </w:r>
    </w:p>
    <w:p w14:paraId="7A16DD76" w14:textId="77777777" w:rsidR="002351E2" w:rsidRPr="00EC1CA6" w:rsidRDefault="002351E2" w:rsidP="002351E2">
      <w:pPr>
        <w:spacing w:after="0" w:line="240" w:lineRule="auto"/>
        <w:jc w:val="both"/>
        <w:rPr>
          <w:rFonts w:ascii="Barlow" w:hAnsi="Barlow" w:cs="Arial"/>
          <w:b/>
          <w:color w:val="203242"/>
        </w:rPr>
      </w:pPr>
    </w:p>
    <w:p w14:paraId="5A3AE8C8" w14:textId="77777777" w:rsidR="002351E2" w:rsidRPr="00EC1CA6" w:rsidRDefault="002351E2" w:rsidP="002351E2">
      <w:pPr>
        <w:spacing w:after="0" w:line="240" w:lineRule="auto"/>
        <w:jc w:val="both"/>
        <w:rPr>
          <w:rFonts w:ascii="Barlow" w:hAnsi="Barlow" w:cs="Arial"/>
          <w:b/>
          <w:color w:val="203242"/>
        </w:rPr>
      </w:pPr>
    </w:p>
    <w:p w14:paraId="210136AC" w14:textId="77777777" w:rsidR="002351E2" w:rsidRPr="00EC1CA6" w:rsidRDefault="002351E2" w:rsidP="008C67F6">
      <w:pPr>
        <w:spacing w:after="0" w:line="240" w:lineRule="auto"/>
        <w:ind w:firstLine="708"/>
        <w:jc w:val="both"/>
        <w:rPr>
          <w:rFonts w:ascii="Barlow" w:hAnsi="Barlow" w:cs="Arial"/>
          <w:b/>
          <w:color w:val="203242"/>
        </w:rPr>
      </w:pPr>
      <w:r w:rsidRPr="00EC1CA6">
        <w:rPr>
          <w:rFonts w:ascii="Barlow" w:hAnsi="Barlow" w:cs="Arial"/>
          <w:b/>
          <w:color w:val="203242"/>
        </w:rPr>
        <w:t>3.2 – Les heures supplémentaires</w:t>
      </w:r>
    </w:p>
    <w:p w14:paraId="469B1B2F" w14:textId="77777777" w:rsidR="002351E2" w:rsidRPr="00EC1CA6" w:rsidRDefault="002351E2" w:rsidP="002351E2">
      <w:pPr>
        <w:spacing w:after="0" w:line="240" w:lineRule="auto"/>
        <w:jc w:val="both"/>
        <w:rPr>
          <w:rFonts w:ascii="Barlow" w:hAnsi="Barlow" w:cs="Arial"/>
          <w:color w:val="203242"/>
        </w:rPr>
      </w:pPr>
    </w:p>
    <w:p w14:paraId="476EA47A" w14:textId="77777777" w:rsidR="002351E2" w:rsidRPr="00EC1CA6" w:rsidRDefault="002351E2" w:rsidP="002351E2">
      <w:pPr>
        <w:spacing w:after="0" w:line="240" w:lineRule="auto"/>
        <w:jc w:val="both"/>
        <w:rPr>
          <w:rFonts w:ascii="Barlow" w:hAnsi="Barlow" w:cs="Arial"/>
          <w:color w:val="203242"/>
        </w:rPr>
      </w:pPr>
      <w:r w:rsidRPr="00EC1CA6">
        <w:rPr>
          <w:rFonts w:ascii="Barlow" w:hAnsi="Barlow" w:cs="Arial"/>
          <w:color w:val="203242"/>
        </w:rPr>
        <w:t>Le nombre d'heures supplémentaires est limité à 25 heures par mois et leur rémunération s'effectuera conformément aux dispositions du décret n° 2002-60 du 14 janvier 2002 relatif aux indemnités horaires pour travaux supplémentaires.</w:t>
      </w:r>
    </w:p>
    <w:p w14:paraId="7AA8C451" w14:textId="77777777" w:rsidR="002351E2" w:rsidRPr="00EC1CA6" w:rsidRDefault="002351E2" w:rsidP="002351E2">
      <w:pPr>
        <w:spacing w:after="0" w:line="240" w:lineRule="auto"/>
        <w:jc w:val="both"/>
        <w:rPr>
          <w:rFonts w:ascii="Barlow" w:hAnsi="Barlow" w:cs="Arial"/>
          <w:color w:val="203242"/>
        </w:rPr>
      </w:pPr>
    </w:p>
    <w:p w14:paraId="37805C20" w14:textId="77777777" w:rsidR="002351E2" w:rsidRPr="00EC1CA6" w:rsidRDefault="002351E2" w:rsidP="002351E2">
      <w:pPr>
        <w:spacing w:after="0" w:line="240" w:lineRule="auto"/>
        <w:jc w:val="both"/>
        <w:rPr>
          <w:rFonts w:ascii="Barlow" w:hAnsi="Barlow" w:cs="Arial"/>
          <w:color w:val="203242"/>
        </w:rPr>
      </w:pPr>
      <w:r w:rsidRPr="00EC1CA6">
        <w:rPr>
          <w:rFonts w:ascii="Barlow" w:hAnsi="Barlow" w:cs="Arial"/>
          <w:color w:val="203242"/>
        </w:rPr>
        <w:t>Les agents autorisés à exercer leurs fonctions à temps partiel pourront être appelés exceptionnellement à effectuer des travaux supplémentaires dans la limite de : 25 heures x quotité de temps partiel. Elles seront rémunérées sans majoration. La rémunération d'une heure supplémentaire est déterminée en divisant par 1 820 la somme du montant annuel du traitement brut et, le cas échéant, de l'indemnité de résidence d'un agent au même indice exerçant à temps plein.</w:t>
      </w:r>
    </w:p>
    <w:p w14:paraId="525B057A" w14:textId="77777777" w:rsidR="002351E2" w:rsidRPr="00EC1CA6" w:rsidRDefault="002351E2" w:rsidP="002351E2">
      <w:pPr>
        <w:spacing w:after="0" w:line="240" w:lineRule="auto"/>
        <w:jc w:val="both"/>
        <w:rPr>
          <w:rFonts w:ascii="Barlow" w:hAnsi="Barlow" w:cs="Arial"/>
          <w:color w:val="203242"/>
        </w:rPr>
      </w:pPr>
    </w:p>
    <w:p w14:paraId="4B63F6B6" w14:textId="77777777" w:rsidR="0092026C" w:rsidRPr="00EC1CA6" w:rsidRDefault="0092026C" w:rsidP="002351E2">
      <w:pPr>
        <w:spacing w:after="0" w:line="240" w:lineRule="auto"/>
        <w:jc w:val="both"/>
        <w:rPr>
          <w:rFonts w:ascii="Barlow" w:hAnsi="Barlow" w:cs="Arial"/>
          <w:color w:val="203242"/>
        </w:rPr>
      </w:pPr>
    </w:p>
    <w:p w14:paraId="06653202" w14:textId="77777777" w:rsidR="00701C7F" w:rsidRPr="00EC1CA6" w:rsidRDefault="00701C7F" w:rsidP="002351E2">
      <w:pPr>
        <w:spacing w:after="0" w:line="240" w:lineRule="auto"/>
        <w:jc w:val="both"/>
        <w:rPr>
          <w:rFonts w:ascii="Barlow" w:hAnsi="Barlow" w:cs="Arial"/>
          <w:color w:val="203242"/>
        </w:rPr>
      </w:pPr>
    </w:p>
    <w:p w14:paraId="08EDE899" w14:textId="77777777" w:rsidR="002351E2" w:rsidRPr="00EC1CA6" w:rsidRDefault="002351E2" w:rsidP="002351E2">
      <w:pPr>
        <w:spacing w:after="0" w:line="240" w:lineRule="auto"/>
        <w:jc w:val="both"/>
        <w:rPr>
          <w:rFonts w:ascii="Barlow" w:hAnsi="Barlow" w:cs="Arial"/>
          <w:strike/>
          <w:color w:val="203242"/>
        </w:rPr>
      </w:pPr>
      <w:r w:rsidRPr="00EC1CA6">
        <w:rPr>
          <w:rFonts w:ascii="Barlow" w:hAnsi="Barlow" w:cs="Arial"/>
          <w:color w:val="203242"/>
        </w:rPr>
        <w:t xml:space="preserve">Le…………… </w:t>
      </w:r>
      <w:r w:rsidRPr="00EC1CA6">
        <w:rPr>
          <w:rFonts w:ascii="Barlow" w:hAnsi="Barlow" w:cs="Arial"/>
          <w:color w:val="0070C0"/>
        </w:rPr>
        <w:t xml:space="preserve">Maire/Président </w:t>
      </w:r>
      <w:r w:rsidRPr="00EC1CA6">
        <w:rPr>
          <w:rFonts w:ascii="Barlow" w:hAnsi="Barlow" w:cs="Arial"/>
          <w:color w:val="203242"/>
        </w:rPr>
        <w:t xml:space="preserve">rappelle que les heures supplémentaires sont </w:t>
      </w:r>
      <w:r w:rsidR="00BD2E01" w:rsidRPr="00EC1CA6">
        <w:rPr>
          <w:rFonts w:ascii="Barlow" w:hAnsi="Barlow" w:cs="Arial"/>
          <w:color w:val="203242"/>
        </w:rPr>
        <w:t>préférentiellement</w:t>
      </w:r>
      <w:r w:rsidRPr="00EC1CA6">
        <w:rPr>
          <w:rFonts w:ascii="Barlow" w:hAnsi="Barlow" w:cs="Arial"/>
          <w:color w:val="203242"/>
        </w:rPr>
        <w:t xml:space="preserve"> récupérées sous forme d'un repos compensateur. Elles ne </w:t>
      </w:r>
      <w:r w:rsidR="00BD2E01" w:rsidRPr="00EC1CA6">
        <w:rPr>
          <w:rFonts w:ascii="Barlow" w:hAnsi="Barlow" w:cs="Arial"/>
          <w:color w:val="203242"/>
        </w:rPr>
        <w:t>peuvent</w:t>
      </w:r>
      <w:r w:rsidRPr="00EC1CA6">
        <w:rPr>
          <w:rFonts w:ascii="Barlow" w:hAnsi="Barlow" w:cs="Arial"/>
          <w:color w:val="203242"/>
        </w:rPr>
        <w:t xml:space="preserve"> être indemnisées dans les conditions réglementaires que sur décision favorable de l’autorité territoriale.</w:t>
      </w:r>
    </w:p>
    <w:p w14:paraId="2A00EFCE" w14:textId="77777777" w:rsidR="002351E2" w:rsidRPr="00EC1CA6" w:rsidRDefault="002351E2" w:rsidP="002351E2">
      <w:pPr>
        <w:spacing w:after="0" w:line="240" w:lineRule="auto"/>
        <w:jc w:val="both"/>
        <w:rPr>
          <w:rFonts w:ascii="Barlow" w:hAnsi="Barlow" w:cs="Arial"/>
          <w:color w:val="203242"/>
        </w:rPr>
      </w:pPr>
    </w:p>
    <w:p w14:paraId="00FC6A7C" w14:textId="77777777" w:rsidR="002351E2" w:rsidRPr="00EC1CA6" w:rsidRDefault="002351E2" w:rsidP="002351E2">
      <w:pPr>
        <w:spacing w:after="0" w:line="240" w:lineRule="auto"/>
        <w:jc w:val="both"/>
        <w:rPr>
          <w:rFonts w:ascii="Barlow" w:hAnsi="Barlow" w:cs="Arial"/>
          <w:i/>
          <w:iCs/>
          <w:color w:val="0070C0"/>
        </w:rPr>
      </w:pPr>
      <w:r w:rsidRPr="00EC1CA6">
        <w:rPr>
          <w:rFonts w:ascii="Barlow" w:hAnsi="Barlow" w:cs="Arial"/>
          <w:i/>
          <w:iCs/>
          <w:color w:val="0070C0"/>
        </w:rPr>
        <w:t>Cependant, possibilité d’être plus précis :</w:t>
      </w:r>
    </w:p>
    <w:p w14:paraId="6E8DD6CF" w14:textId="77777777" w:rsidR="00E33DFF" w:rsidRPr="00EC1CA6" w:rsidRDefault="00E33DFF" w:rsidP="002351E2">
      <w:pPr>
        <w:spacing w:after="0" w:line="240" w:lineRule="auto"/>
        <w:jc w:val="both"/>
        <w:rPr>
          <w:rFonts w:ascii="Barlow" w:hAnsi="Barlow" w:cs="Arial"/>
          <w:i/>
          <w:iCs/>
          <w:color w:val="0070C0"/>
        </w:rPr>
      </w:pPr>
    </w:p>
    <w:p w14:paraId="5276B324" w14:textId="77777777" w:rsidR="002351E2" w:rsidRPr="00EC1CA6" w:rsidRDefault="002351E2" w:rsidP="002351E2">
      <w:pPr>
        <w:spacing w:after="0" w:line="240" w:lineRule="auto"/>
        <w:jc w:val="both"/>
        <w:rPr>
          <w:rFonts w:ascii="Barlow" w:hAnsi="Barlow" w:cs="Arial"/>
          <w:i/>
          <w:iCs/>
          <w:color w:val="203242"/>
        </w:rPr>
      </w:pPr>
      <w:r w:rsidRPr="00EC1CA6">
        <w:rPr>
          <w:rFonts w:ascii="Barlow" w:hAnsi="Barlow" w:cs="Arial"/>
          <w:i/>
          <w:iCs/>
          <w:color w:val="203242"/>
        </w:rPr>
        <w:t>La collectivité fait le choix suivant :</w:t>
      </w:r>
    </w:p>
    <w:p w14:paraId="2EC35FB2" w14:textId="77777777" w:rsidR="00E33DFF" w:rsidRPr="00EC1CA6" w:rsidRDefault="00E33DFF" w:rsidP="002351E2">
      <w:pPr>
        <w:spacing w:after="0" w:line="240" w:lineRule="auto"/>
        <w:jc w:val="both"/>
        <w:rPr>
          <w:rFonts w:ascii="Barlow" w:hAnsi="Barlow" w:cs="Arial"/>
          <w:i/>
          <w:iCs/>
          <w:color w:val="203242"/>
        </w:rPr>
      </w:pPr>
    </w:p>
    <w:p w14:paraId="183AED8F" w14:textId="77777777" w:rsidR="002351E2" w:rsidRPr="00EC1CA6" w:rsidRDefault="002351E2" w:rsidP="002351E2">
      <w:pPr>
        <w:spacing w:after="0" w:line="240" w:lineRule="auto"/>
        <w:jc w:val="both"/>
        <w:rPr>
          <w:rFonts w:ascii="Barlow" w:hAnsi="Barlow" w:cs="Arial"/>
          <w:i/>
          <w:iCs/>
          <w:color w:val="203242"/>
        </w:rPr>
      </w:pPr>
      <w:r w:rsidRPr="00EC1CA6">
        <w:rPr>
          <w:rFonts w:ascii="Barlow" w:hAnsi="Barlow" w:cs="Arial"/>
          <w:i/>
          <w:iCs/>
          <w:color w:val="203242"/>
        </w:rPr>
        <w:t>1 - De compenser les heures supplémentaires par l’attribution d'un repos compensateur.</w:t>
      </w:r>
    </w:p>
    <w:p w14:paraId="27B83BC7" w14:textId="77777777" w:rsidR="00E33DFF" w:rsidRPr="00EC1CA6" w:rsidRDefault="00E33DFF" w:rsidP="002351E2">
      <w:pPr>
        <w:spacing w:after="0" w:line="240" w:lineRule="auto"/>
        <w:jc w:val="both"/>
        <w:rPr>
          <w:rFonts w:ascii="Barlow" w:hAnsi="Barlow" w:cs="Arial"/>
          <w:i/>
          <w:iCs/>
          <w:color w:val="203242"/>
        </w:rPr>
      </w:pPr>
    </w:p>
    <w:p w14:paraId="61D9F6F1" w14:textId="77777777" w:rsidR="002351E2" w:rsidRPr="00EC1CA6" w:rsidRDefault="002351E2" w:rsidP="002351E2">
      <w:pPr>
        <w:spacing w:after="0" w:line="240" w:lineRule="auto"/>
        <w:jc w:val="both"/>
        <w:rPr>
          <w:rFonts w:ascii="Barlow" w:hAnsi="Barlow" w:cs="Arial"/>
          <w:i/>
          <w:iCs/>
          <w:color w:val="0070C0"/>
        </w:rPr>
      </w:pPr>
      <w:r w:rsidRPr="00EC1CA6">
        <w:rPr>
          <w:rFonts w:ascii="Barlow" w:hAnsi="Barlow" w:cs="Arial"/>
          <w:i/>
          <w:iCs/>
          <w:color w:val="0070C0"/>
        </w:rPr>
        <w:t>OU</w:t>
      </w:r>
    </w:p>
    <w:p w14:paraId="01E3577E" w14:textId="77777777" w:rsidR="00E33DFF" w:rsidRPr="00EC1CA6" w:rsidRDefault="00E33DFF" w:rsidP="002351E2">
      <w:pPr>
        <w:spacing w:after="0" w:line="240" w:lineRule="auto"/>
        <w:jc w:val="both"/>
        <w:rPr>
          <w:rFonts w:ascii="Barlow" w:hAnsi="Barlow" w:cs="Arial"/>
          <w:i/>
          <w:iCs/>
          <w:color w:val="0070C0"/>
        </w:rPr>
      </w:pPr>
    </w:p>
    <w:p w14:paraId="09A02B62" w14:textId="77777777" w:rsidR="002351E2" w:rsidRPr="00EC1CA6" w:rsidRDefault="002351E2" w:rsidP="002351E2">
      <w:pPr>
        <w:spacing w:after="0" w:line="240" w:lineRule="auto"/>
        <w:jc w:val="both"/>
        <w:rPr>
          <w:rFonts w:ascii="Barlow" w:hAnsi="Barlow" w:cs="Arial"/>
          <w:i/>
          <w:iCs/>
          <w:color w:val="203242"/>
        </w:rPr>
      </w:pPr>
      <w:r w:rsidRPr="00EC1CA6">
        <w:rPr>
          <w:rFonts w:ascii="Barlow" w:hAnsi="Barlow" w:cs="Arial"/>
          <w:i/>
          <w:iCs/>
          <w:color w:val="203242"/>
        </w:rPr>
        <w:t>2- De compenser les heures supplémentaires par l’attribution d'un repos compensateur et/ou par le versement de l’indemnité horaires pour travaux supplémentaires.</w:t>
      </w:r>
      <w:r w:rsidR="00E33DFF" w:rsidRPr="00EC1CA6">
        <w:rPr>
          <w:rFonts w:ascii="Barlow" w:hAnsi="Barlow" w:cs="Arial"/>
          <w:i/>
          <w:iCs/>
          <w:color w:val="203242"/>
        </w:rPr>
        <w:t xml:space="preserve"> </w:t>
      </w:r>
      <w:r w:rsidRPr="00EC1CA6">
        <w:rPr>
          <w:rFonts w:ascii="Barlow" w:hAnsi="Barlow" w:cs="Arial"/>
          <w:i/>
          <w:iCs/>
          <w:color w:val="203242"/>
        </w:rPr>
        <w:t>Le choix entre le repos compensateur et/ou l’indemnisation est laissée à la libre appréciation de l’autorité territoriale.</w:t>
      </w:r>
      <w:r w:rsidR="00BD2E01" w:rsidRPr="00EC1CA6">
        <w:rPr>
          <w:rFonts w:ascii="Barlow" w:hAnsi="Barlow" w:cs="Arial"/>
          <w:i/>
          <w:iCs/>
          <w:color w:val="203242"/>
        </w:rPr>
        <w:t xml:space="preserve"> Ces modalités de compensation ne sont pas cumulables. </w:t>
      </w:r>
    </w:p>
    <w:p w14:paraId="60AD0154" w14:textId="77777777" w:rsidR="002351E2" w:rsidRPr="00EC1CA6" w:rsidRDefault="002351E2" w:rsidP="002351E2">
      <w:pPr>
        <w:spacing w:after="0" w:line="240" w:lineRule="auto"/>
        <w:jc w:val="both"/>
        <w:rPr>
          <w:rFonts w:ascii="Barlow" w:hAnsi="Barlow" w:cs="Arial"/>
          <w:color w:val="203242"/>
        </w:rPr>
      </w:pPr>
    </w:p>
    <w:p w14:paraId="2096A34D" w14:textId="1E99DD9C" w:rsidR="00701C7F" w:rsidRPr="00EC1CA6" w:rsidRDefault="00701C7F" w:rsidP="00701C7F">
      <w:pPr>
        <w:jc w:val="both"/>
        <w:rPr>
          <w:rFonts w:ascii="Barlow" w:hAnsi="Barlow" w:cs="Arial"/>
          <w:color w:val="203242"/>
        </w:rPr>
      </w:pPr>
      <w:r w:rsidRPr="00EC1CA6">
        <w:rPr>
          <w:rFonts w:ascii="Barlow" w:hAnsi="Barlow" w:cs="Arial"/>
          <w:color w:val="203242"/>
        </w:rPr>
        <w:lastRenderedPageBreak/>
        <w:t xml:space="preserve">Le paiement des heures complémentaires et supplémentaires se fera sur production par le Maire (ou Président) d'un état mensuel nominatif constatant le nombre d'heures à récupérer par l'agent ou à payer. </w:t>
      </w:r>
    </w:p>
    <w:p w14:paraId="2C14448D" w14:textId="77777777" w:rsidR="00701C7F" w:rsidRPr="00EC1CA6" w:rsidRDefault="00701C7F" w:rsidP="002351E2">
      <w:pPr>
        <w:spacing w:after="0" w:line="240" w:lineRule="auto"/>
        <w:jc w:val="both"/>
        <w:rPr>
          <w:rFonts w:ascii="Barlow" w:hAnsi="Barlow" w:cs="Arial"/>
          <w:i/>
          <w:iCs/>
          <w:color w:val="203242"/>
        </w:rPr>
      </w:pPr>
    </w:p>
    <w:p w14:paraId="6818E339" w14:textId="77777777" w:rsidR="002351E2" w:rsidRPr="00EC1CA6" w:rsidRDefault="002351E2" w:rsidP="002351E2">
      <w:pPr>
        <w:spacing w:after="0" w:line="240" w:lineRule="auto"/>
        <w:jc w:val="both"/>
        <w:rPr>
          <w:rFonts w:ascii="Barlow" w:hAnsi="Barlow" w:cs="Arial"/>
          <w:color w:val="203242"/>
        </w:rPr>
      </w:pPr>
      <w:r w:rsidRPr="00EC1CA6">
        <w:rPr>
          <w:rFonts w:ascii="Barlow" w:hAnsi="Barlow" w:cs="Arial"/>
          <w:color w:val="203242"/>
        </w:rPr>
        <w:t xml:space="preserve">Après avis du Comité Social Territorial </w:t>
      </w:r>
      <w:r w:rsidRPr="00EC1CA6">
        <w:rPr>
          <w:rFonts w:ascii="Barlow" w:hAnsi="Barlow" w:cs="Arial"/>
          <w:color w:val="0070C0"/>
        </w:rPr>
        <w:t>(placé auprès du Centre de Gestion)</w:t>
      </w:r>
      <w:r w:rsidRPr="00EC1CA6">
        <w:rPr>
          <w:rFonts w:ascii="Barlow" w:hAnsi="Barlow" w:cs="Arial"/>
          <w:color w:val="203242"/>
        </w:rPr>
        <w:t xml:space="preserve"> lors de sa réunion en date du …, l'assemblée délibérante, après avoir entendu le …………….. </w:t>
      </w:r>
      <w:r w:rsidRPr="00EC1CA6">
        <w:rPr>
          <w:rFonts w:ascii="Barlow" w:hAnsi="Barlow" w:cs="Arial"/>
          <w:color w:val="0070C0"/>
        </w:rPr>
        <w:t xml:space="preserve">Maire/Président </w:t>
      </w:r>
      <w:r w:rsidRPr="00EC1CA6">
        <w:rPr>
          <w:rFonts w:ascii="Barlow" w:hAnsi="Barlow" w:cs="Arial"/>
          <w:color w:val="203242"/>
        </w:rPr>
        <w:t>dans ses explications complémentaires et après en avoir délibéré,</w:t>
      </w:r>
    </w:p>
    <w:p w14:paraId="1DD1EBF5" w14:textId="77777777" w:rsidR="002351E2" w:rsidRPr="00EC1CA6" w:rsidRDefault="002351E2" w:rsidP="002351E2">
      <w:pPr>
        <w:spacing w:after="0" w:line="240" w:lineRule="auto"/>
        <w:jc w:val="both"/>
        <w:rPr>
          <w:rFonts w:ascii="Barlow" w:hAnsi="Barlow" w:cs="Arial"/>
          <w:color w:val="203242"/>
        </w:rPr>
      </w:pPr>
    </w:p>
    <w:p w14:paraId="1955DF36" w14:textId="77777777" w:rsidR="002351E2" w:rsidRPr="00EC1CA6" w:rsidRDefault="002351E2" w:rsidP="002351E2">
      <w:pPr>
        <w:spacing w:after="0" w:line="240" w:lineRule="auto"/>
        <w:jc w:val="both"/>
        <w:rPr>
          <w:rFonts w:ascii="Barlow" w:hAnsi="Barlow" w:cs="Arial"/>
          <w:color w:val="203242"/>
        </w:rPr>
      </w:pPr>
    </w:p>
    <w:p w14:paraId="0E60DFDB" w14:textId="77777777" w:rsidR="002351E2" w:rsidRPr="00EC1CA6" w:rsidRDefault="002351E2" w:rsidP="694D0D5A">
      <w:pPr>
        <w:spacing w:after="0" w:line="240" w:lineRule="auto"/>
        <w:ind w:left="2124" w:hanging="2124"/>
        <w:jc w:val="both"/>
        <w:rPr>
          <w:rFonts w:ascii="Barlow" w:hAnsi="Barlow" w:cs="Arial"/>
          <w:color w:val="0070C0"/>
        </w:rPr>
      </w:pPr>
      <w:r w:rsidRPr="00EC1CA6">
        <w:rPr>
          <w:rFonts w:ascii="Barlow" w:hAnsi="Barlow" w:cs="Arial"/>
          <w:b/>
          <w:bCs/>
          <w:color w:val="203242"/>
        </w:rPr>
        <w:t>ADOPTE</w:t>
      </w:r>
      <w:r w:rsidRPr="00EC1CA6">
        <w:rPr>
          <w:rFonts w:ascii="Barlow" w:hAnsi="Barlow"/>
        </w:rPr>
        <w:tab/>
      </w:r>
      <w:r w:rsidRPr="00EC1CA6">
        <w:rPr>
          <w:rFonts w:ascii="Barlow" w:hAnsi="Barlow" w:cs="Arial"/>
          <w:color w:val="203242"/>
        </w:rPr>
        <w:t>- les conditions d’attributions et d’indemnisation proposées par le  …………….</w:t>
      </w:r>
      <w:r w:rsidRPr="00EC1CA6">
        <w:rPr>
          <w:rFonts w:ascii="Barlow" w:hAnsi="Barlow" w:cs="Arial"/>
          <w:color w:val="0070C0"/>
        </w:rPr>
        <w:t xml:space="preserve"> Maire/Président</w:t>
      </w:r>
    </w:p>
    <w:p w14:paraId="357881BE" w14:textId="77777777" w:rsidR="002351E2" w:rsidRPr="00EC1CA6" w:rsidRDefault="002351E2" w:rsidP="002351E2">
      <w:pPr>
        <w:spacing w:after="0" w:line="240" w:lineRule="auto"/>
        <w:jc w:val="both"/>
        <w:rPr>
          <w:rFonts w:ascii="Barlow" w:hAnsi="Barlow" w:cs="Arial"/>
          <w:color w:val="203242"/>
        </w:rPr>
      </w:pPr>
    </w:p>
    <w:p w14:paraId="6B161DCD" w14:textId="77777777" w:rsidR="002351E2" w:rsidRPr="00EC1CA6" w:rsidRDefault="002351E2" w:rsidP="002351E2">
      <w:pPr>
        <w:spacing w:after="0" w:line="240" w:lineRule="auto"/>
        <w:jc w:val="both"/>
        <w:rPr>
          <w:rFonts w:ascii="Barlow" w:hAnsi="Barlow" w:cs="Arial"/>
          <w:color w:val="203242"/>
        </w:rPr>
      </w:pPr>
      <w:r w:rsidRPr="00EC1CA6">
        <w:rPr>
          <w:rFonts w:ascii="Barlow" w:hAnsi="Barlow" w:cs="Arial"/>
          <w:b/>
          <w:color w:val="203242"/>
        </w:rPr>
        <w:t>PRECISE</w:t>
      </w:r>
      <w:r w:rsidRPr="00EC1CA6">
        <w:rPr>
          <w:rFonts w:ascii="Barlow" w:hAnsi="Barlow" w:cs="Arial"/>
          <w:color w:val="203242"/>
        </w:rPr>
        <w:tab/>
      </w:r>
      <w:r w:rsidRPr="00EC1CA6">
        <w:rPr>
          <w:rFonts w:ascii="Barlow" w:hAnsi="Barlow" w:cs="Arial"/>
          <w:color w:val="203242"/>
        </w:rPr>
        <w:tab/>
        <w:t>- que les crédits suffisants sont prévus au budget de l’exercice</w:t>
      </w:r>
    </w:p>
    <w:p w14:paraId="4A824220" w14:textId="77777777" w:rsidR="002351E2" w:rsidRPr="00EC1CA6" w:rsidRDefault="002351E2" w:rsidP="002351E2">
      <w:pPr>
        <w:spacing w:after="0" w:line="240" w:lineRule="auto"/>
        <w:jc w:val="both"/>
        <w:rPr>
          <w:rFonts w:ascii="Barlow" w:hAnsi="Barlow" w:cs="Arial"/>
          <w:color w:val="203242"/>
        </w:rPr>
      </w:pPr>
    </w:p>
    <w:p w14:paraId="022F9AD3" w14:textId="77777777" w:rsidR="002351E2" w:rsidRPr="00EC1CA6" w:rsidRDefault="002351E2" w:rsidP="694D0D5A">
      <w:pPr>
        <w:spacing w:after="0" w:line="240" w:lineRule="auto"/>
        <w:ind w:left="2124"/>
        <w:jc w:val="both"/>
        <w:rPr>
          <w:rFonts w:ascii="Barlow" w:hAnsi="Barlow" w:cs="Arial"/>
          <w:color w:val="0070C0"/>
        </w:rPr>
      </w:pPr>
      <w:r w:rsidRPr="00EC1CA6">
        <w:rPr>
          <w:rFonts w:ascii="Barlow" w:hAnsi="Barlow" w:cs="Arial"/>
          <w:color w:val="203242"/>
        </w:rPr>
        <w:t xml:space="preserve">- que les dispositions de la présente délibération prendront effet au ….. </w:t>
      </w:r>
      <w:r w:rsidRPr="00EC1CA6">
        <w:rPr>
          <w:rFonts w:ascii="Barlow" w:hAnsi="Barlow" w:cs="Arial"/>
          <w:color w:val="0070C0"/>
        </w:rPr>
        <w:t>(au plus tôt la date de transmission au contrôle de légalité)</w:t>
      </w:r>
    </w:p>
    <w:p w14:paraId="17B50642" w14:textId="044A043F" w:rsidR="0092026C" w:rsidRPr="00EC1CA6" w:rsidRDefault="0092026C" w:rsidP="0092026C">
      <w:pPr>
        <w:spacing w:after="0" w:line="240" w:lineRule="auto"/>
        <w:jc w:val="center"/>
        <w:rPr>
          <w:rFonts w:ascii="Barlow" w:hAnsi="Barlow" w:cs="Arial"/>
          <w:color w:val="203242"/>
        </w:rPr>
      </w:pPr>
    </w:p>
    <w:p w14:paraId="0E3E2731" w14:textId="77777777" w:rsidR="0092026C" w:rsidRPr="00EC1CA6" w:rsidRDefault="0092026C" w:rsidP="0092026C">
      <w:pPr>
        <w:jc w:val="both"/>
        <w:rPr>
          <w:rFonts w:ascii="Barlow" w:hAnsi="Barlow" w:cs="Arial"/>
          <w:color w:val="203242"/>
        </w:rPr>
      </w:pPr>
      <w:r w:rsidRPr="00EC1CA6">
        <w:rPr>
          <w:rFonts w:ascii="Barlow" w:hAnsi="Barlow" w:cs="Arial"/>
          <w:color w:val="203242"/>
        </w:rPr>
        <w:t>Ainsi fait et délibéré,</w:t>
      </w:r>
    </w:p>
    <w:p w14:paraId="0172492A" w14:textId="50115B82" w:rsidR="0092026C" w:rsidRPr="00EC1CA6" w:rsidRDefault="0092026C" w:rsidP="0092026C">
      <w:pPr>
        <w:jc w:val="both"/>
        <w:rPr>
          <w:rFonts w:ascii="Barlow" w:hAnsi="Barlow" w:cs="Arial"/>
          <w:color w:val="203242"/>
        </w:rPr>
      </w:pPr>
      <w:r w:rsidRPr="00EC1CA6">
        <w:rPr>
          <w:rFonts w:ascii="Barlow" w:hAnsi="Barlow" w:cs="Arial"/>
          <w:color w:val="203242"/>
        </w:rPr>
        <w:tab/>
      </w:r>
      <w:r w:rsidRPr="00EC1CA6">
        <w:rPr>
          <w:rFonts w:ascii="Barlow" w:hAnsi="Barlow" w:cs="Arial"/>
          <w:color w:val="203242"/>
        </w:rPr>
        <w:tab/>
      </w:r>
      <w:r w:rsidRPr="00EC1CA6">
        <w:rPr>
          <w:rFonts w:ascii="Barlow" w:hAnsi="Barlow" w:cs="Arial"/>
          <w:color w:val="203242"/>
        </w:rPr>
        <w:tab/>
      </w:r>
      <w:r w:rsidRPr="00EC1CA6">
        <w:rPr>
          <w:rFonts w:ascii="Barlow" w:hAnsi="Barlow" w:cs="Arial"/>
          <w:color w:val="203242"/>
        </w:rPr>
        <w:tab/>
      </w:r>
      <w:r w:rsidRPr="00EC1CA6">
        <w:rPr>
          <w:rFonts w:ascii="Barlow" w:hAnsi="Barlow" w:cs="Arial"/>
          <w:color w:val="203242"/>
        </w:rPr>
        <w:tab/>
      </w:r>
      <w:r w:rsidRPr="00EC1CA6">
        <w:rPr>
          <w:rFonts w:ascii="Barlow" w:hAnsi="Barlow" w:cs="Arial"/>
          <w:color w:val="203242"/>
        </w:rPr>
        <w:tab/>
      </w:r>
      <w:r w:rsidRPr="00EC1CA6">
        <w:rPr>
          <w:rFonts w:ascii="Barlow" w:hAnsi="Barlow" w:cs="Arial"/>
          <w:color w:val="203242"/>
        </w:rPr>
        <w:tab/>
      </w:r>
      <w:r w:rsidRPr="00EC1CA6">
        <w:rPr>
          <w:rFonts w:ascii="Barlow" w:hAnsi="Barlow" w:cs="Arial"/>
          <w:color w:val="203242"/>
        </w:rPr>
        <w:tab/>
        <w:t>Le ……,</w:t>
      </w:r>
    </w:p>
    <w:p w14:paraId="186D72E1" w14:textId="77777777" w:rsidR="0092026C" w:rsidRPr="00EC1CA6" w:rsidRDefault="0092026C" w:rsidP="0092026C">
      <w:pPr>
        <w:ind w:left="4956" w:firstLine="708"/>
        <w:rPr>
          <w:rFonts w:ascii="Barlow" w:hAnsi="Barlow" w:cs="Arial"/>
          <w:color w:val="203242"/>
        </w:rPr>
      </w:pPr>
      <w:r w:rsidRPr="00EC1CA6">
        <w:rPr>
          <w:rFonts w:ascii="Barlow" w:hAnsi="Barlow" w:cs="Arial"/>
          <w:color w:val="203242"/>
        </w:rPr>
        <w:t>Le Maire (ou le Président)</w:t>
      </w:r>
    </w:p>
    <w:p w14:paraId="39DCD212" w14:textId="77777777" w:rsidR="0092026C" w:rsidRPr="00EC1CA6" w:rsidRDefault="0092026C" w:rsidP="0092026C">
      <w:pPr>
        <w:ind w:left="4956" w:firstLine="708"/>
        <w:rPr>
          <w:rFonts w:ascii="Barlow" w:hAnsi="Barlow" w:cs="Arial"/>
          <w:color w:val="203242"/>
        </w:rPr>
      </w:pPr>
    </w:p>
    <w:p w14:paraId="6773C195" w14:textId="77777777" w:rsidR="0092026C" w:rsidRPr="00EC1CA6" w:rsidRDefault="0092026C" w:rsidP="0092026C">
      <w:pPr>
        <w:ind w:left="4956" w:firstLine="708"/>
        <w:rPr>
          <w:rFonts w:ascii="Barlow" w:hAnsi="Barlow" w:cs="Arial"/>
          <w:color w:val="203242"/>
        </w:rPr>
      </w:pPr>
    </w:p>
    <w:p w14:paraId="5ED66CC2" w14:textId="77777777" w:rsidR="0092026C" w:rsidRPr="00EC1CA6" w:rsidRDefault="0092026C" w:rsidP="0092026C">
      <w:pPr>
        <w:ind w:left="4956" w:firstLine="708"/>
        <w:rPr>
          <w:rFonts w:ascii="Barlow" w:hAnsi="Barlow" w:cs="Arial"/>
          <w:color w:val="203242"/>
        </w:rPr>
      </w:pPr>
      <w:r w:rsidRPr="00EC1CA6">
        <w:rPr>
          <w:rFonts w:ascii="Barlow" w:hAnsi="Barlow" w:cs="Arial"/>
          <w:color w:val="203242"/>
        </w:rPr>
        <w:t xml:space="preserve">Affichée le : … (date) </w:t>
      </w:r>
    </w:p>
    <w:p w14:paraId="63174370" w14:textId="77777777" w:rsidR="0092026C" w:rsidRPr="00EC1CA6" w:rsidRDefault="0092026C" w:rsidP="0092026C">
      <w:pPr>
        <w:ind w:left="4956" w:firstLine="708"/>
        <w:rPr>
          <w:rFonts w:ascii="Barlow" w:hAnsi="Barlow" w:cs="Arial"/>
          <w:color w:val="203242"/>
        </w:rPr>
      </w:pPr>
      <w:r w:rsidRPr="00EC1CA6">
        <w:rPr>
          <w:rFonts w:ascii="Barlow" w:hAnsi="Barlow" w:cs="Arial"/>
          <w:color w:val="203242"/>
        </w:rPr>
        <w:t xml:space="preserve">OU Publiée le : … (date) </w:t>
      </w:r>
    </w:p>
    <w:p w14:paraId="0E830E49" w14:textId="77777777" w:rsidR="0092026C" w:rsidRPr="00EC1CA6" w:rsidRDefault="0092026C" w:rsidP="0092026C">
      <w:pPr>
        <w:ind w:left="4956" w:firstLine="708"/>
        <w:rPr>
          <w:rFonts w:ascii="Barlow" w:hAnsi="Barlow" w:cs="Arial"/>
          <w:color w:val="203242"/>
        </w:rPr>
      </w:pPr>
    </w:p>
    <w:p w14:paraId="54C7BDE4" w14:textId="77777777" w:rsidR="0092026C" w:rsidRPr="00EC1CA6" w:rsidRDefault="0092026C" w:rsidP="0092026C">
      <w:pPr>
        <w:ind w:left="4956" w:hanging="1128"/>
        <w:rPr>
          <w:rFonts w:ascii="Barlow" w:hAnsi="Barlow" w:cs="Arial"/>
          <w:color w:val="203242"/>
        </w:rPr>
      </w:pPr>
      <w:r w:rsidRPr="00EC1CA6">
        <w:rPr>
          <w:rFonts w:ascii="Barlow" w:hAnsi="Barlow" w:cs="Arial"/>
          <w:color w:val="203242"/>
        </w:rPr>
        <w:t xml:space="preserve">Transmise au Représentant de l’État le : … (date) </w:t>
      </w:r>
    </w:p>
    <w:p w14:paraId="0DCCB696" w14:textId="77777777" w:rsidR="0092026C" w:rsidRPr="00EC1CA6" w:rsidRDefault="0092026C" w:rsidP="0092026C">
      <w:pPr>
        <w:ind w:left="4956" w:firstLine="708"/>
        <w:rPr>
          <w:rFonts w:ascii="Barlow" w:hAnsi="Barlow" w:cs="Arial"/>
          <w:color w:val="203242"/>
        </w:rPr>
      </w:pPr>
    </w:p>
    <w:p w14:paraId="41F28BCD" w14:textId="77777777" w:rsidR="0092026C" w:rsidRPr="00EC1CA6" w:rsidRDefault="0092026C" w:rsidP="0092026C">
      <w:pPr>
        <w:ind w:left="4956" w:firstLine="708"/>
        <w:rPr>
          <w:rFonts w:ascii="Barlow" w:hAnsi="Barlow" w:cs="Arial"/>
          <w:color w:val="203242"/>
        </w:rPr>
      </w:pPr>
    </w:p>
    <w:p w14:paraId="7DE66465" w14:textId="77777777" w:rsidR="0092026C" w:rsidRPr="00EC1CA6" w:rsidRDefault="0092026C" w:rsidP="0092026C">
      <w:pPr>
        <w:ind w:left="4956" w:firstLine="708"/>
        <w:rPr>
          <w:rFonts w:ascii="Barlow" w:hAnsi="Barlow" w:cs="Arial"/>
          <w:color w:val="203242"/>
        </w:rPr>
      </w:pPr>
    </w:p>
    <w:p w14:paraId="01855B68" w14:textId="27496B63" w:rsidR="0092026C" w:rsidRPr="00EC1CA6" w:rsidRDefault="0092026C" w:rsidP="0092026C">
      <w:pPr>
        <w:jc w:val="both"/>
        <w:rPr>
          <w:rFonts w:ascii="Barlow" w:hAnsi="Barlow" w:cs="Arial"/>
          <w:color w:val="203242"/>
        </w:rPr>
      </w:pPr>
      <w:r w:rsidRPr="00EC1CA6">
        <w:rPr>
          <w:rFonts w:ascii="Barlow" w:hAnsi="Barlow" w:cs="Arial"/>
          <w:color w:val="203242"/>
        </w:rPr>
        <w:t xml:space="preserve">Monsieur ou Madame le Maire ou le-la Président/Présidente certifie, sous sa responsabilité, le caractère exécutoire de cet acte, et informe qu’il peut faire l’objet d’un recours auprès du Tribunal Administratif de Nancy dans un délai de deux mois à compter de sa publication et sa transmission aux services de l’État. Le tribunal administratif peut être saisi par l’application informatique «Télérecours citoyens» accessible par le site internet </w:t>
      </w:r>
      <w:hyperlink r:id="rId11" w:history="1">
        <w:r w:rsidRPr="00EC1CA6">
          <w:rPr>
            <w:rStyle w:val="Lienhypertexte"/>
            <w:rFonts w:ascii="Barlow" w:hAnsi="Barlow" w:cs="Arial"/>
          </w:rPr>
          <w:t>http://telerecours.fr</w:t>
        </w:r>
      </w:hyperlink>
      <w:r w:rsidRPr="00EC1CA6">
        <w:rPr>
          <w:rFonts w:ascii="Barlow" w:hAnsi="Barlow" w:cs="Arial"/>
          <w:color w:val="203242"/>
        </w:rPr>
        <w:t xml:space="preserve"> </w:t>
      </w:r>
    </w:p>
    <w:p w14:paraId="3A529C2C" w14:textId="77777777" w:rsidR="0092026C" w:rsidRPr="0092026C" w:rsidRDefault="0092026C" w:rsidP="0092026C">
      <w:pPr>
        <w:spacing w:after="0" w:line="240" w:lineRule="auto"/>
        <w:jc w:val="center"/>
        <w:rPr>
          <w:rFonts w:ascii="Avenir Next LT Pro" w:hAnsi="Avenir Next LT Pro" w:cs="Arial"/>
          <w:color w:val="203242"/>
        </w:rPr>
      </w:pPr>
    </w:p>
    <w:sectPr w:rsidR="0092026C" w:rsidRPr="0092026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30147" w14:textId="77777777" w:rsidR="003C1142" w:rsidRDefault="003C1142" w:rsidP="00EC1CA6">
      <w:pPr>
        <w:spacing w:after="0" w:line="240" w:lineRule="auto"/>
      </w:pPr>
      <w:r>
        <w:separator/>
      </w:r>
    </w:p>
  </w:endnote>
  <w:endnote w:type="continuationSeparator" w:id="0">
    <w:p w14:paraId="32E5479C" w14:textId="77777777" w:rsidR="003C1142" w:rsidRDefault="003C1142" w:rsidP="00EC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F37A" w14:textId="28FC1740" w:rsidR="00EC1CA6" w:rsidRDefault="00EC1CA6">
    <w:pPr>
      <w:pStyle w:val="Pieddepage"/>
    </w:pPr>
    <w:r>
      <w:tab/>
    </w:r>
    <w:r>
      <w:tab/>
    </w:r>
    <w:r w:rsidRPr="00EC1CA6">
      <w:rPr>
        <w:sz w:val="18"/>
        <w:szCs w:val="18"/>
      </w:rPr>
      <w:t>MAJ 20/08/2026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1104F" w14:textId="77777777" w:rsidR="003C1142" w:rsidRDefault="003C1142" w:rsidP="00EC1CA6">
      <w:pPr>
        <w:spacing w:after="0" w:line="240" w:lineRule="auto"/>
      </w:pPr>
      <w:r>
        <w:separator/>
      </w:r>
    </w:p>
  </w:footnote>
  <w:footnote w:type="continuationSeparator" w:id="0">
    <w:p w14:paraId="2D30DC84" w14:textId="77777777" w:rsidR="003C1142" w:rsidRDefault="003C1142" w:rsidP="00EC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77949"/>
    <w:multiLevelType w:val="hybridMultilevel"/>
    <w:tmpl w:val="7D84C398"/>
    <w:lvl w:ilvl="0" w:tplc="2C5AF878">
      <w:start w:val="5"/>
      <w:numFmt w:val="bullet"/>
      <w:lvlText w:val="-"/>
      <w:lvlJc w:val="left"/>
      <w:pPr>
        <w:ind w:left="36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7D73554"/>
    <w:multiLevelType w:val="hybridMultilevel"/>
    <w:tmpl w:val="28AA6938"/>
    <w:lvl w:ilvl="0" w:tplc="FBDCC0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D0A4F5D"/>
    <w:multiLevelType w:val="multilevel"/>
    <w:tmpl w:val="D47E7688"/>
    <w:lvl w:ilvl="0">
      <w:start w:val="1"/>
      <w:numFmt w:val="decimal"/>
      <w:pStyle w:val="123consulta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71974339">
    <w:abstractNumId w:val="1"/>
  </w:num>
  <w:num w:numId="2" w16cid:durableId="379669720">
    <w:abstractNumId w:val="2"/>
  </w:num>
  <w:num w:numId="3" w16cid:durableId="1483934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E2"/>
    <w:rsid w:val="0001549E"/>
    <w:rsid w:val="00061717"/>
    <w:rsid w:val="000A0927"/>
    <w:rsid w:val="00150C35"/>
    <w:rsid w:val="002351E2"/>
    <w:rsid w:val="002E3D1B"/>
    <w:rsid w:val="002F1242"/>
    <w:rsid w:val="00381FE4"/>
    <w:rsid w:val="003C1142"/>
    <w:rsid w:val="004A02DF"/>
    <w:rsid w:val="004B5560"/>
    <w:rsid w:val="0050717C"/>
    <w:rsid w:val="005848C1"/>
    <w:rsid w:val="005B5982"/>
    <w:rsid w:val="005D0548"/>
    <w:rsid w:val="006F22B4"/>
    <w:rsid w:val="00701C7F"/>
    <w:rsid w:val="00725828"/>
    <w:rsid w:val="00781A68"/>
    <w:rsid w:val="008B085E"/>
    <w:rsid w:val="008C67F6"/>
    <w:rsid w:val="008D0F1B"/>
    <w:rsid w:val="0092026C"/>
    <w:rsid w:val="00973803"/>
    <w:rsid w:val="009E3277"/>
    <w:rsid w:val="009E55EC"/>
    <w:rsid w:val="00AE4058"/>
    <w:rsid w:val="00AF6F2F"/>
    <w:rsid w:val="00B6063D"/>
    <w:rsid w:val="00BD2E01"/>
    <w:rsid w:val="00C70947"/>
    <w:rsid w:val="00D05A24"/>
    <w:rsid w:val="00D171B0"/>
    <w:rsid w:val="00DD54CB"/>
    <w:rsid w:val="00E33DFF"/>
    <w:rsid w:val="00E50C32"/>
    <w:rsid w:val="00EC1CA6"/>
    <w:rsid w:val="3E1D0016"/>
    <w:rsid w:val="576D5E91"/>
    <w:rsid w:val="66301E9C"/>
    <w:rsid w:val="694D0D5A"/>
    <w:rsid w:val="6FD223C9"/>
    <w:rsid w:val="758BB01E"/>
    <w:rsid w:val="77EB99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73C56"/>
  <w15:chartTrackingRefBased/>
  <w15:docId w15:val="{57F2C6CC-0CBD-4920-9E1E-0368FA7C7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A09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23consultation">
    <w:name w:val="123 consultation"/>
    <w:basedOn w:val="Paragraphedeliste"/>
    <w:link w:val="123consultationCar"/>
    <w:qFormat/>
    <w:rsid w:val="00C70947"/>
    <w:pPr>
      <w:numPr>
        <w:numId w:val="2"/>
      </w:numPr>
      <w:tabs>
        <w:tab w:val="clear" w:pos="720"/>
        <w:tab w:val="num" w:pos="360"/>
      </w:tabs>
      <w:spacing w:after="120" w:line="240" w:lineRule="auto"/>
      <w:ind w:hanging="360"/>
      <w:jc w:val="both"/>
    </w:pPr>
    <w:rPr>
      <w:rFonts w:ascii="Bookman Old Style" w:hAnsi="Bookman Old Style"/>
      <w:u w:val="single"/>
    </w:rPr>
  </w:style>
  <w:style w:type="character" w:customStyle="1" w:styleId="123consultationCar">
    <w:name w:val="123 consultation Car"/>
    <w:basedOn w:val="Policepardfaut"/>
    <w:link w:val="123consultation"/>
    <w:rsid w:val="00C70947"/>
    <w:rPr>
      <w:rFonts w:ascii="Bookman Old Style" w:hAnsi="Bookman Old Style"/>
      <w:u w:val="single"/>
    </w:rPr>
  </w:style>
  <w:style w:type="paragraph" w:styleId="Paragraphedeliste">
    <w:name w:val="List Paragraph"/>
    <w:basedOn w:val="Normal"/>
    <w:uiPriority w:val="34"/>
    <w:qFormat/>
    <w:rsid w:val="00C70947"/>
    <w:pPr>
      <w:ind w:left="720"/>
      <w:contextualSpacing/>
    </w:pPr>
  </w:style>
  <w:style w:type="paragraph" w:customStyle="1" w:styleId="corpsdetexte">
    <w:name w:val="corps de texte"/>
    <w:basedOn w:val="Normal"/>
    <w:qFormat/>
    <w:rsid w:val="009E3277"/>
    <w:pPr>
      <w:spacing w:before="120" w:after="120" w:line="240" w:lineRule="auto"/>
      <w:ind w:firstLine="454"/>
      <w:jc w:val="both"/>
    </w:pPr>
    <w:rPr>
      <w:rFonts w:ascii="Bookman Old Style" w:hAnsi="Bookman Old Style"/>
    </w:rPr>
  </w:style>
  <w:style w:type="paragraph" w:customStyle="1" w:styleId="abcconsultation">
    <w:name w:val="abc consultation"/>
    <w:basedOn w:val="corpsdetexte"/>
    <w:next w:val="corpsdetexte"/>
    <w:qFormat/>
    <w:rsid w:val="004A02DF"/>
    <w:pPr>
      <w:ind w:firstLine="0"/>
    </w:pPr>
    <w:rPr>
      <w:u w:val="single"/>
    </w:rPr>
  </w:style>
  <w:style w:type="character" w:styleId="Marquedecommentaire">
    <w:name w:val="annotation reference"/>
    <w:basedOn w:val="Policepardfaut"/>
    <w:uiPriority w:val="99"/>
    <w:semiHidden/>
    <w:unhideWhenUsed/>
    <w:rsid w:val="00BD2E01"/>
    <w:rPr>
      <w:sz w:val="16"/>
      <w:szCs w:val="16"/>
    </w:rPr>
  </w:style>
  <w:style w:type="paragraph" w:styleId="Commentaire">
    <w:name w:val="annotation text"/>
    <w:basedOn w:val="Normal"/>
    <w:link w:val="CommentaireCar"/>
    <w:uiPriority w:val="99"/>
    <w:semiHidden/>
    <w:unhideWhenUsed/>
    <w:rsid w:val="00BD2E01"/>
    <w:pPr>
      <w:spacing w:line="240" w:lineRule="auto"/>
    </w:pPr>
    <w:rPr>
      <w:sz w:val="20"/>
      <w:szCs w:val="20"/>
    </w:rPr>
  </w:style>
  <w:style w:type="character" w:customStyle="1" w:styleId="CommentaireCar">
    <w:name w:val="Commentaire Car"/>
    <w:basedOn w:val="Policepardfaut"/>
    <w:link w:val="Commentaire"/>
    <w:uiPriority w:val="99"/>
    <w:semiHidden/>
    <w:rsid w:val="00BD2E01"/>
    <w:rPr>
      <w:sz w:val="20"/>
      <w:szCs w:val="20"/>
    </w:rPr>
  </w:style>
  <w:style w:type="paragraph" w:styleId="Objetducommentaire">
    <w:name w:val="annotation subject"/>
    <w:basedOn w:val="Commentaire"/>
    <w:next w:val="Commentaire"/>
    <w:link w:val="ObjetducommentaireCar"/>
    <w:uiPriority w:val="99"/>
    <w:semiHidden/>
    <w:unhideWhenUsed/>
    <w:rsid w:val="00BD2E01"/>
    <w:rPr>
      <w:b/>
      <w:bCs/>
    </w:rPr>
  </w:style>
  <w:style w:type="character" w:customStyle="1" w:styleId="ObjetducommentaireCar">
    <w:name w:val="Objet du commentaire Car"/>
    <w:basedOn w:val="CommentaireCar"/>
    <w:link w:val="Objetducommentaire"/>
    <w:uiPriority w:val="99"/>
    <w:semiHidden/>
    <w:rsid w:val="00BD2E01"/>
    <w:rPr>
      <w:b/>
      <w:bCs/>
      <w:sz w:val="20"/>
      <w:szCs w:val="20"/>
    </w:rPr>
  </w:style>
  <w:style w:type="paragraph" w:styleId="Textedebulles">
    <w:name w:val="Balloon Text"/>
    <w:basedOn w:val="Normal"/>
    <w:link w:val="TextedebullesCar"/>
    <w:uiPriority w:val="99"/>
    <w:semiHidden/>
    <w:unhideWhenUsed/>
    <w:rsid w:val="00BD2E0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D2E01"/>
    <w:rPr>
      <w:rFonts w:ascii="Segoe UI" w:hAnsi="Segoe UI" w:cs="Segoe UI"/>
      <w:sz w:val="18"/>
      <w:szCs w:val="18"/>
    </w:rPr>
  </w:style>
  <w:style w:type="character" w:customStyle="1" w:styleId="Titre1Car">
    <w:name w:val="Titre 1 Car"/>
    <w:basedOn w:val="Policepardfaut"/>
    <w:link w:val="Titre1"/>
    <w:uiPriority w:val="9"/>
    <w:rsid w:val="000A0927"/>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unhideWhenUsed/>
    <w:rsid w:val="0092026C"/>
    <w:rPr>
      <w:color w:val="0563C1" w:themeColor="hyperlink"/>
      <w:u w:val="single"/>
    </w:rPr>
  </w:style>
  <w:style w:type="character" w:styleId="Mentionnonrsolue">
    <w:name w:val="Unresolved Mention"/>
    <w:basedOn w:val="Policepardfaut"/>
    <w:uiPriority w:val="99"/>
    <w:semiHidden/>
    <w:unhideWhenUsed/>
    <w:rsid w:val="0092026C"/>
    <w:rPr>
      <w:color w:val="605E5C"/>
      <w:shd w:val="clear" w:color="auto" w:fill="E1DFDD"/>
    </w:rPr>
  </w:style>
  <w:style w:type="paragraph" w:styleId="En-tte">
    <w:name w:val="header"/>
    <w:basedOn w:val="Normal"/>
    <w:link w:val="En-tteCar"/>
    <w:uiPriority w:val="99"/>
    <w:unhideWhenUsed/>
    <w:rsid w:val="00EC1CA6"/>
    <w:pPr>
      <w:tabs>
        <w:tab w:val="center" w:pos="4536"/>
        <w:tab w:val="right" w:pos="9072"/>
      </w:tabs>
      <w:spacing w:after="0" w:line="240" w:lineRule="auto"/>
    </w:pPr>
  </w:style>
  <w:style w:type="character" w:customStyle="1" w:styleId="En-tteCar">
    <w:name w:val="En-tête Car"/>
    <w:basedOn w:val="Policepardfaut"/>
    <w:link w:val="En-tte"/>
    <w:uiPriority w:val="99"/>
    <w:rsid w:val="00EC1CA6"/>
  </w:style>
  <w:style w:type="paragraph" w:styleId="Pieddepage">
    <w:name w:val="footer"/>
    <w:basedOn w:val="Normal"/>
    <w:link w:val="PieddepageCar"/>
    <w:uiPriority w:val="99"/>
    <w:unhideWhenUsed/>
    <w:rsid w:val="00EC1C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elerecours.f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VeilleJuridiqueDoc" ma:contentTypeID="0x010100B3669A6B9A7E4EE5877FE38FDB8B991902007598AD79AC713C4B9FEF7D80B5B93D54" ma:contentTypeVersion="28" ma:contentTypeDescription="" ma:contentTypeScope="" ma:versionID="36a65cadd79f29d59e62a130f6dd5895">
  <xsd:schema xmlns:xsd="http://www.w3.org/2001/XMLSchema" xmlns:xs="http://www.w3.org/2001/XMLSchema" xmlns:p="http://schemas.microsoft.com/office/2006/metadata/properties" xmlns:ns2="90166908-29b9-4d30-a0c8-5458b25b723f" xmlns:ns3="bec7f01a-a217-4fb8-b33e-d05d8d7e9e59" targetNamespace="http://schemas.microsoft.com/office/2006/metadata/properties" ma:root="true" ma:fieldsID="13ff17ac3f6339e1cd24b72bbc7ddc33" ns2:_="" ns3:_="">
    <xsd:import namespace="90166908-29b9-4d30-a0c8-5458b25b723f"/>
    <xsd:import namespace="bec7f01a-a217-4fb8-b33e-d05d8d7e9e59"/>
    <xsd:element name="properties">
      <xsd:complexType>
        <xsd:sequence>
          <xsd:element name="documentManagement">
            <xsd:complexType>
              <xsd:all>
                <xsd:element ref="ns2:Date_x0020_du_x0020_document" minOccurs="0"/>
                <xsd:element ref="ns2:yes_Resume" minOccurs="0"/>
                <xsd:element ref="ns2:Commentaire" minOccurs="0"/>
                <xsd:element ref="ns2:yes_Archive" minOccurs="0"/>
                <xsd:element ref="ns2:od8d3bb709094f93a5b64ed17b7e93aa" minOccurs="0"/>
                <xsd:element ref="ns2:TaxCatchAll" minOccurs="0"/>
                <xsd:element ref="ns2:hcc28252c9d44f3397526034c866dc9a" minOccurs="0"/>
                <xsd:element ref="ns2:d9a6de5fcc97430fa3859e3c48811208" minOccurs="0"/>
                <xsd:element ref="ns2:TaxCatchAllLabel" minOccurs="0"/>
                <xsd:element ref="ns2:SharedWithUsers" minOccurs="0"/>
                <xsd:element ref="ns3:hfd68a586720489190486f7b93326e47" minOccurs="0"/>
                <xsd:element ref="ns3:Date_x0020_de_x0020_mise_x0020__x00e0__x0020_jo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66908-29b9-4d30-a0c8-5458b25b723f" elementFormDefault="qualified">
    <xsd:import namespace="http://schemas.microsoft.com/office/2006/documentManagement/types"/>
    <xsd:import namespace="http://schemas.microsoft.com/office/infopath/2007/PartnerControls"/>
    <xsd:element name="Date_x0020_du_x0020_document" ma:index="4" nillable="true" ma:displayName="Date du document" ma:format="DateOnly" ma:internalName="Date_x0020_du_x0020_document">
      <xsd:simpleType>
        <xsd:restriction base="dms:DateTime"/>
      </xsd:simpleType>
    </xsd:element>
    <xsd:element name="yes_Resume" ma:index="5" nillable="true" ma:displayName="Résumé" ma:internalName="yes_Resume">
      <xsd:simpleType>
        <xsd:restriction base="dms:Unknown"/>
      </xsd:simpleType>
    </xsd:element>
    <xsd:element name="Commentaire" ma:index="6" nillable="true" ma:displayName="Informations sur la mise à jour" ma:internalName="Commentaire">
      <xsd:simpleType>
        <xsd:restriction base="dms:Unknown"/>
      </xsd:simpleType>
    </xsd:element>
    <xsd:element name="yes_Archive" ma:index="8" nillable="true" ma:displayName="Archive" ma:default="0" ma:internalName="yes_Archive">
      <xsd:simpleType>
        <xsd:restriction base="dms:Boolean"/>
      </xsd:simpleType>
    </xsd:element>
    <xsd:element name="od8d3bb709094f93a5b64ed17b7e93aa" ma:index="13" nillable="true" ma:taxonomy="true" ma:internalName="od8d3bb709094f93a5b64ed17b7e93aa" ma:taxonomyFieldName="yes_Emetteur" ma:displayName="Emetteur" ma:readOnly="false" ma:fieldId="{8d8d3bb7-0909-4f93-a5b6-4ed17b7e93aa}" ma:sspId="d7b31c4f-c7f3-499c-8d09-c121019fc7c6" ma:termSetId="91ae534c-2a3f-4528-98fc-5d5feeb272f7" ma:anchorId="00000000-0000-0000-0000-000000000000" ma:open="false" ma:isKeyword="false">
      <xsd:complexType>
        <xsd:sequence>
          <xsd:element ref="pc:Terms" minOccurs="0" maxOccurs="1"/>
        </xsd:sequence>
      </xsd:complexType>
    </xsd:element>
    <xsd:element name="TaxCatchAll" ma:index="14" nillable="true" ma:displayName="Colonne Attraper tout de Taxonomie" ma:hidden="true" ma:list="{4471e43b-c10a-42e7-8a61-28dc129aa670}" ma:internalName="TaxCatchAll" ma:showField="CatchAllData" ma:web="90166908-29b9-4d30-a0c8-5458b25b723f">
      <xsd:complexType>
        <xsd:complexContent>
          <xsd:extension base="dms:MultiChoiceLookup">
            <xsd:sequence>
              <xsd:element name="Value" type="dms:Lookup" maxOccurs="unbounded" minOccurs="0" nillable="true"/>
            </xsd:sequence>
          </xsd:extension>
        </xsd:complexContent>
      </xsd:complexType>
    </xsd:element>
    <xsd:element name="hcc28252c9d44f3397526034c866dc9a" ma:index="16" nillable="true" ma:taxonomy="true" ma:internalName="hcc28252c9d44f3397526034c866dc9a" ma:taxonomyFieldName="Th_x00e9_matique_x0028_s_x0029_" ma:displayName="Thématique(s)" ma:default="" ma:fieldId="{1cc28252-c9d4-4f33-9752-6034c866dc9a}" ma:taxonomyMulti="true" ma:sspId="d7b31c4f-c7f3-499c-8d09-c121019fc7c6" ma:termSetId="86a12190-364c-46af-8676-4826b0593d56" ma:anchorId="00000000-0000-0000-0000-000000000000" ma:open="true" ma:isKeyword="false">
      <xsd:complexType>
        <xsd:sequence>
          <xsd:element ref="pc:Terms" minOccurs="0" maxOccurs="1"/>
        </xsd:sequence>
      </xsd:complexType>
    </xsd:element>
    <xsd:element name="d9a6de5fcc97430fa3859e3c48811208" ma:index="17" nillable="true" ma:taxonomy="true" ma:internalName="d9a6de5fcc97430fa3859e3c48811208" ma:taxonomyFieldName="Nature_x0020_de_x0020_document_x0020_veille" ma:displayName="Nature de document veille" ma:indexed="true" ma:default="" ma:fieldId="{d9a6de5f-cc97-430f-a385-9e3c48811208}" ma:sspId="d7b31c4f-c7f3-499c-8d09-c121019fc7c6" ma:termSetId="9940ab54-9439-4c03-86b0-4517b896669f" ma:anchorId="00000000-0000-0000-0000-000000000000" ma:open="true" ma:isKeyword="false">
      <xsd:complexType>
        <xsd:sequence>
          <xsd:element ref="pc:Terms" minOccurs="0" maxOccurs="1"/>
        </xsd:sequence>
      </xsd:complexType>
    </xsd:element>
    <xsd:element name="TaxCatchAllLabel" ma:index="19" nillable="true" ma:displayName="Colonne Attraper tout de Taxonomie1" ma:hidden="true" ma:list="{4471e43b-c10a-42e7-8a61-28dc129aa670}" ma:internalName="TaxCatchAllLabel" ma:readOnly="true" ma:showField="CatchAllDataLabel" ma:web="90166908-29b9-4d30-a0c8-5458b25b723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c7f01a-a217-4fb8-b33e-d05d8d7e9e59" elementFormDefault="qualified">
    <xsd:import namespace="http://schemas.microsoft.com/office/2006/documentManagement/types"/>
    <xsd:import namespace="http://schemas.microsoft.com/office/infopath/2007/PartnerControls"/>
    <xsd:element name="hfd68a586720489190486f7b93326e47" ma:index="22" nillable="true" ma:taxonomy="true" ma:internalName="hfd68a586720489190486f7b93326e47" ma:taxonomyFieldName="Sous_x002d_th_x00e9_matique_x0028_s_x0029_" ma:displayName="Sous-thématique(s)" ma:default="" ma:fieldId="{1fd68a58-6720-4891-9048-6f7b93326e47}" ma:taxonomyMulti="true" ma:sspId="d7b31c4f-c7f3-499c-8d09-c121019fc7c6" ma:termSetId="d72045ab-dcb5-4d32-84a2-2b57d296681c" ma:anchorId="00000000-0000-0000-0000-000000000000" ma:open="false" ma:isKeyword="false">
      <xsd:complexType>
        <xsd:sequence>
          <xsd:element ref="pc:Terms" minOccurs="0" maxOccurs="1"/>
        </xsd:sequence>
      </xsd:complexType>
    </xsd:element>
    <xsd:element name="Date_x0020_de_x0020_mise_x0020__x00e0__x0020_jour" ma:index="23" nillable="true" ma:displayName="Date de mise à jour" ma:format="DateOnly" ma:internalName="Date_x0020_de_x0020_mise_x0020__x00e0__x0020_jour">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e de contenu"/>
        <xsd:element ref="dc:title" minOccurs="0" maxOccurs="1" ma:index="2"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hcc28252c9d44f3397526034c866dc9a xmlns="90166908-29b9-4d30-a0c8-5458b25b723f">
      <Terms xmlns="http://schemas.microsoft.com/office/infopath/2007/PartnerControls">
        <TermInfo xmlns="http://schemas.microsoft.com/office/infopath/2007/PartnerControls">
          <TermName xmlns="http://schemas.microsoft.com/office/infopath/2007/PartnerControls">Rémunération</TermName>
          <TermId xmlns="http://schemas.microsoft.com/office/infopath/2007/PartnerControls">e8f86bdb-8662-4cad-8ae8-de5ef0717120</TermId>
        </TermInfo>
      </Terms>
    </hcc28252c9d44f3397526034c866dc9a>
    <yes_Resume xmlns="90166908-29b9-4d30-a0c8-5458b25b723f">&lt;p style="text-align&amp;#58;justify;"&gt;​Modèle de délibération pour la gestion des travaux supplémentaires
des personnels d’enseignement artistique.&lt;br&gt;&lt;/p&gt;</yes_Resume>
    <od8d3bb709094f93a5b64ed17b7e93aa xmlns="90166908-29b9-4d30-a0c8-5458b25b723f">
      <Terms xmlns="http://schemas.microsoft.com/office/infopath/2007/PartnerControls">
        <TermInfo xmlns="http://schemas.microsoft.com/office/infopath/2007/PartnerControls">
          <TermName xmlns="http://schemas.microsoft.com/office/infopath/2007/PartnerControls">Expertise RH mutualisée</TermName>
          <TermId xmlns="http://schemas.microsoft.com/office/infopath/2007/PartnerControls">edf9fb82-80b9-43e4-903d-8111a2ee1f16</TermId>
        </TermInfo>
      </Terms>
    </od8d3bb709094f93a5b64ed17b7e93aa>
    <d9a6de5fcc97430fa3859e3c48811208 xmlns="90166908-29b9-4d30-a0c8-5458b25b723f">
      <Terms xmlns="http://schemas.microsoft.com/office/infopath/2007/PartnerControls">
        <TermInfo xmlns="http://schemas.microsoft.com/office/infopath/2007/PartnerControls">
          <TermName xmlns="http://schemas.microsoft.com/office/infopath/2007/PartnerControls">Modèle</TermName>
          <TermId xmlns="http://schemas.microsoft.com/office/infopath/2007/PartnerControls">b249a672-dea0-4f85-b9c3-3daf3f3ee20f</TermId>
        </TermInfo>
      </Terms>
    </d9a6de5fcc97430fa3859e3c48811208>
    <Date_x0020_du_x0020_document xmlns="90166908-29b9-4d30-a0c8-5458b25b723f">2025-03-26T23:00:00+00:00</Date_x0020_du_x0020_document>
    <Commentaire xmlns="90166908-29b9-4d30-a0c8-5458b25b723f">&lt;p&gt;​V1&lt;br&gt;&lt;br&gt;&lt;/p&gt;</Commentaire>
    <Date_x0020_de_x0020_mise_x0020__x00e0__x0020_jour xmlns="bec7f01a-a217-4fb8-b33e-d05d8d7e9e59">2025-03-26T23:00:00+00:00</Date_x0020_de_x0020_mise_x0020__x00e0__x0020_jour>
    <hfd68a586720489190486f7b93326e47 xmlns="bec7f01a-a217-4fb8-b33e-d05d8d7e9e59">
      <Terms xmlns="http://schemas.microsoft.com/office/infopath/2007/PartnerControls">
        <TermInfo xmlns="http://schemas.microsoft.com/office/infopath/2007/PartnerControls">
          <TermName xmlns="http://schemas.microsoft.com/office/infopath/2007/PartnerControls">IHTS et heures complémentaires</TermName>
          <TermId xmlns="http://schemas.microsoft.com/office/infopath/2007/PartnerControls">8f403281-498d-45d2-b073-7fff4332af23</TermId>
        </TermInfo>
      </Terms>
    </hfd68a586720489190486f7b93326e47>
    <yes_Archive xmlns="90166908-29b9-4d30-a0c8-5458b25b723f">false</yes_Archive>
    <TaxCatchAll xmlns="90166908-29b9-4d30-a0c8-5458b25b723f">
      <Value>335</Value>
      <Value>2661</Value>
      <Value>1844</Value>
      <Value>1842</Value>
    </TaxCatchAll>
  </documentManagement>
</p:properties>
</file>

<file path=customXml/itemProps1.xml><?xml version="1.0" encoding="utf-8"?>
<ds:datastoreItem xmlns:ds="http://schemas.openxmlformats.org/officeDocument/2006/customXml" ds:itemID="{A1B70676-9F67-402B-B9A8-E15F43FFA9B0}">
  <ds:schemaRefs>
    <ds:schemaRef ds:uri="http://schemas.openxmlformats.org/officeDocument/2006/bibliography"/>
  </ds:schemaRefs>
</ds:datastoreItem>
</file>

<file path=customXml/itemProps2.xml><?xml version="1.0" encoding="utf-8"?>
<ds:datastoreItem xmlns:ds="http://schemas.openxmlformats.org/officeDocument/2006/customXml" ds:itemID="{B377707E-B404-4E81-AC23-B4F235768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66908-29b9-4d30-a0c8-5458b25b723f"/>
    <ds:schemaRef ds:uri="bec7f01a-a217-4fb8-b33e-d05d8d7e9e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194AAC-EDD8-4870-B836-7B7D8D936271}">
  <ds:schemaRefs>
    <ds:schemaRef ds:uri="http://schemas.microsoft.com/sharepoint/v3/contenttype/forms"/>
  </ds:schemaRefs>
</ds:datastoreItem>
</file>

<file path=customXml/itemProps4.xml><?xml version="1.0" encoding="utf-8"?>
<ds:datastoreItem xmlns:ds="http://schemas.openxmlformats.org/officeDocument/2006/customXml" ds:itemID="{4884F111-21E1-404F-B071-BEB6CEC5C44C}">
  <ds:schemaRefs>
    <ds:schemaRef ds:uri="http://schemas.microsoft.com/office/2006/metadata/properties"/>
    <ds:schemaRef ds:uri="http://schemas.microsoft.com/office/infopath/2007/PartnerControls"/>
    <ds:schemaRef ds:uri="90166908-29b9-4d30-a0c8-5458b25b723f"/>
    <ds:schemaRef ds:uri="bec7f01a-a217-4fb8-b33e-d05d8d7e9e59"/>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1333</Words>
  <Characters>7337</Characters>
  <Application>Microsoft Office Word</Application>
  <DocSecurity>0</DocSecurity>
  <Lines>61</Lines>
  <Paragraphs>17</Paragraphs>
  <ScaleCrop>false</ScaleCrop>
  <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Délibération pour la gestion des travaux supplémentaires des personnels d’enseignement artistique</dc:title>
  <dc:subject/>
  <dc:creator>Aurélie GARCIA</dc:creator>
  <cp:keywords/>
  <dc:description/>
  <cp:lastModifiedBy>Sandie FELLMANN</cp:lastModifiedBy>
  <cp:revision>16</cp:revision>
  <dcterms:created xsi:type="dcterms:W3CDTF">2026-08-20T13:56:00Z</dcterms:created>
  <dcterms:modified xsi:type="dcterms:W3CDTF">2026-08-24T06:45:00Z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0x010100B3669A6B9A7E4EE5877FE38FDB8B991902007598AD79AC713C4B9FEF7D80B5B93D54</vt:lpwstr>
  </property>
  <property fmtid="{D5CDD505-2E9C-101B-9397-08002B2CF9AE}" pid="3" name="Sous-thématique(s)">
    <vt:lpwstr>2661;#IHTS et heures complémentaires|8f403281-498d-45d2-b073-7fff4332af23</vt:lpwstr>
  </property>
  <property fmtid="{D5CDD505-2E9C-101B-9397-08002B2CF9AE}" pid="4" name="Thématique(s)">
    <vt:lpwstr>335;#Rémunération|e8f86bdb-8662-4cad-8ae8-de5ef0717120</vt:lpwstr>
  </property>
  <property fmtid="{D5CDD505-2E9C-101B-9397-08002B2CF9AE}" pid="5" name="yes_Emetteur">
    <vt:lpwstr>1842;#Expertise RH mutualisée|edf9fb82-80b9-43e4-903d-8111a2ee1f16</vt:lpwstr>
  </property>
  <property fmtid="{D5CDD505-2E9C-101B-9397-08002B2CF9AE}" pid="6" name="Nature de document veille">
    <vt:lpwstr>1844;#Modèle|b249a672-dea0-4f85-b9c3-3daf3f3ee20f</vt:lpwstr>
  </property>
</Properties>
</file>